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D1E1" w14:textId="17EB9741" w:rsidR="00FE3090" w:rsidRPr="00D21A95" w:rsidRDefault="00FE3090" w:rsidP="00131DCC">
      <w:pPr>
        <w:jc w:val="both"/>
        <w:rPr>
          <w:b/>
          <w:bCs/>
          <w:sz w:val="24"/>
          <w:szCs w:val="24"/>
          <w:lang w:val="en-US"/>
        </w:rPr>
      </w:pPr>
      <w:r w:rsidRPr="007D2DF0">
        <w:rPr>
          <w:b/>
          <w:bCs/>
          <w:sz w:val="24"/>
          <w:szCs w:val="24"/>
          <w:lang w:val="en-GB"/>
        </w:rPr>
        <w:t xml:space="preserve">Facilitating Collective Action to </w:t>
      </w:r>
      <w:r w:rsidR="00131DCC" w:rsidRPr="007D2DF0">
        <w:rPr>
          <w:b/>
          <w:bCs/>
          <w:sz w:val="24"/>
          <w:szCs w:val="24"/>
          <w:lang w:val="en-GB"/>
        </w:rPr>
        <w:t>Fight</w:t>
      </w:r>
      <w:r w:rsidRPr="007D2DF0">
        <w:rPr>
          <w:b/>
          <w:bCs/>
          <w:sz w:val="24"/>
          <w:szCs w:val="24"/>
          <w:lang w:val="en-GB"/>
        </w:rPr>
        <w:t xml:space="preserve"> Gender Apartheid in Iran and Afghanistan</w:t>
      </w:r>
    </w:p>
    <w:p w14:paraId="6AA68FCF" w14:textId="60B8D7A7" w:rsidR="00FE3090" w:rsidRPr="007D2DF0" w:rsidRDefault="00FE3090" w:rsidP="00FE3090">
      <w:pPr>
        <w:rPr>
          <w:b/>
          <w:bCs/>
          <w:lang w:val="en-GB"/>
        </w:rPr>
      </w:pPr>
      <w:r w:rsidRPr="007D2DF0">
        <w:rPr>
          <w:b/>
          <w:bCs/>
          <w:lang w:val="en-GB"/>
        </w:rPr>
        <w:t>Proposal Concept: Fighting Gender Apartheid – A Global Call for Justice</w:t>
      </w:r>
    </w:p>
    <w:p w14:paraId="12E7E7B2" w14:textId="6FDD8F5F" w:rsidR="00FE3090" w:rsidRPr="007D2DF0" w:rsidRDefault="00FE3090" w:rsidP="00CE2416">
      <w:pPr>
        <w:jc w:val="both"/>
        <w:rPr>
          <w:lang w:val="en-GB"/>
        </w:rPr>
      </w:pPr>
      <w:r w:rsidRPr="007D2DF0">
        <w:rPr>
          <w:lang w:val="en-GB"/>
        </w:rPr>
        <w:t>Just as the world once united to end racial apartheid in South Africa, today millions of women face a form of gender apartheid</w:t>
      </w:r>
      <w:r w:rsidR="002168AC">
        <w:rPr>
          <w:lang w:val="en-GB"/>
        </w:rPr>
        <w:t xml:space="preserve">, </w:t>
      </w:r>
      <w:r w:rsidRPr="007D2DF0">
        <w:rPr>
          <w:lang w:val="en-GB"/>
        </w:rPr>
        <w:t xml:space="preserve">systemic, state-sanctioned discrimination that restricts freedoms, autonomy, and basic human rights based on gender. In countries like Iran and Afghanistan, this is enforced not only through visible measures like compulsory dress codes but more fundamentally through legal, political, and economic barriers. Women face difficulties accessing credit, securing high-level education or employment, and participating in political life. </w:t>
      </w:r>
    </w:p>
    <w:p w14:paraId="65B055ED" w14:textId="313893C3" w:rsidR="00FE3090" w:rsidRPr="007D2DF0" w:rsidRDefault="00FE3090" w:rsidP="00CE2416">
      <w:pPr>
        <w:jc w:val="both"/>
        <w:rPr>
          <w:lang w:val="en-GB"/>
        </w:rPr>
      </w:pPr>
      <w:r w:rsidRPr="007D2DF0">
        <w:rPr>
          <w:lang w:val="en-GB"/>
        </w:rPr>
        <w:t>Our project seeks to f</w:t>
      </w:r>
      <w:r w:rsidR="00CE2416" w:rsidRPr="007D2DF0">
        <w:rPr>
          <w:lang w:val="en-GB"/>
        </w:rPr>
        <w:t>ost</w:t>
      </w:r>
      <w:r w:rsidR="00FE44F3" w:rsidRPr="007D2DF0">
        <w:rPr>
          <w:lang w:val="en-GB"/>
        </w:rPr>
        <w:t xml:space="preserve">er </w:t>
      </w:r>
      <w:r w:rsidRPr="007D2DF0">
        <w:rPr>
          <w:lang w:val="en-GB"/>
        </w:rPr>
        <w:t xml:space="preserve">collective action among diaspora communities, starting with Iranians and Afghans in Paris, to raise international awareness and pressure global institutions to formally </w:t>
      </w:r>
      <w:r w:rsidRPr="007D2DF0">
        <w:rPr>
          <w:b/>
          <w:bCs/>
          <w:lang w:val="en-GB"/>
        </w:rPr>
        <w:t>recognise</w:t>
      </w:r>
      <w:r w:rsidRPr="007D2DF0">
        <w:rPr>
          <w:lang w:val="en-GB"/>
        </w:rPr>
        <w:t xml:space="preserve"> </w:t>
      </w:r>
      <w:proofErr w:type="gramStart"/>
      <w:r w:rsidRPr="007D2DF0">
        <w:rPr>
          <w:lang w:val="en-GB"/>
        </w:rPr>
        <w:t>and</w:t>
      </w:r>
      <w:proofErr w:type="gramEnd"/>
      <w:r w:rsidRPr="007D2DF0">
        <w:rPr>
          <w:lang w:val="en-GB"/>
        </w:rPr>
        <w:t xml:space="preserve"> </w:t>
      </w:r>
      <w:r w:rsidRPr="007D2DF0">
        <w:rPr>
          <w:b/>
          <w:bCs/>
          <w:lang w:val="en-GB"/>
        </w:rPr>
        <w:t>act</w:t>
      </w:r>
      <w:r w:rsidRPr="007D2DF0">
        <w:rPr>
          <w:lang w:val="en-GB"/>
        </w:rPr>
        <w:t xml:space="preserve"> against </w:t>
      </w:r>
      <w:r w:rsidRPr="007D2DF0">
        <w:rPr>
          <w:b/>
          <w:bCs/>
          <w:lang w:val="en-GB"/>
        </w:rPr>
        <w:t>gender apartheid</w:t>
      </w:r>
      <w:r w:rsidRPr="007D2DF0">
        <w:rPr>
          <w:lang w:val="en-GB"/>
        </w:rPr>
        <w:t xml:space="preserve"> as a human rights violation.</w:t>
      </w:r>
    </w:p>
    <w:p w14:paraId="38DD6321" w14:textId="4CCCBC4F" w:rsidR="00FE3090" w:rsidRPr="007D2DF0" w:rsidRDefault="00FE3090" w:rsidP="00CE2416">
      <w:pPr>
        <w:jc w:val="both"/>
        <w:rPr>
          <w:lang w:val="en-GB"/>
        </w:rPr>
      </w:pPr>
      <w:r w:rsidRPr="007D2DF0">
        <w:rPr>
          <w:lang w:val="en-GB"/>
        </w:rPr>
        <w:t xml:space="preserve">By drawing on proven collective action theories as described by experts in social choice theory, such as </w:t>
      </w:r>
      <w:r w:rsidR="00892D09">
        <w:rPr>
          <w:lang w:val="en-GB"/>
        </w:rPr>
        <w:t>Amar</w:t>
      </w:r>
      <w:r w:rsidR="0054050A">
        <w:rPr>
          <w:lang w:val="en-GB"/>
        </w:rPr>
        <w:t>tya Sen</w:t>
      </w:r>
      <w:r w:rsidR="0054050A" w:rsidRPr="0054050A">
        <w:rPr>
          <w:vertAlign w:val="superscript"/>
          <w:lang w:val="en-GB"/>
        </w:rPr>
        <w:t>1</w:t>
      </w:r>
      <w:r w:rsidR="0054050A">
        <w:rPr>
          <w:lang w:val="en-GB"/>
        </w:rPr>
        <w:t xml:space="preserve">, </w:t>
      </w:r>
      <w:r w:rsidRPr="007D2DF0">
        <w:rPr>
          <w:lang w:val="en-GB"/>
        </w:rPr>
        <w:t>Elinor Ostrom</w:t>
      </w:r>
      <w:r w:rsidR="00117666">
        <w:rPr>
          <w:vertAlign w:val="superscript"/>
          <w:lang w:val="en-GB"/>
        </w:rPr>
        <w:t>2</w:t>
      </w:r>
      <w:r w:rsidRPr="007D2DF0">
        <w:rPr>
          <w:lang w:val="en-GB"/>
        </w:rPr>
        <w:t>, Denis Müller</w:t>
      </w:r>
      <w:r w:rsidR="00117666">
        <w:rPr>
          <w:vertAlign w:val="superscript"/>
          <w:lang w:val="en-GB"/>
        </w:rPr>
        <w:t>3</w:t>
      </w:r>
      <w:r w:rsidRPr="007D2DF0">
        <w:rPr>
          <w:lang w:val="en-GB"/>
        </w:rPr>
        <w:t>, Kotaro Suzumura</w:t>
      </w:r>
      <w:r w:rsidR="00D8746E">
        <w:rPr>
          <w:vertAlign w:val="superscript"/>
          <w:lang w:val="en-GB"/>
        </w:rPr>
        <w:t>4</w:t>
      </w:r>
      <w:r w:rsidRPr="007D2DF0">
        <w:rPr>
          <w:lang w:val="en-GB"/>
        </w:rPr>
        <w:t>, and Bhaskar Dutta</w:t>
      </w:r>
      <w:r w:rsidR="00D8746E">
        <w:rPr>
          <w:vertAlign w:val="superscript"/>
          <w:lang w:val="en-GB"/>
        </w:rPr>
        <w:t>5</w:t>
      </w:r>
      <w:r w:rsidRPr="007D2DF0">
        <w:rPr>
          <w:lang w:val="en-GB"/>
        </w:rPr>
        <w:t>, this initiative will:</w:t>
      </w:r>
    </w:p>
    <w:p w14:paraId="2030B066" w14:textId="77777777" w:rsidR="00FE3090" w:rsidRPr="007D2DF0" w:rsidRDefault="00FE3090" w:rsidP="00CE2416">
      <w:pPr>
        <w:numPr>
          <w:ilvl w:val="0"/>
          <w:numId w:val="1"/>
        </w:numPr>
        <w:jc w:val="both"/>
        <w:rPr>
          <w:lang w:val="en-GB"/>
        </w:rPr>
      </w:pPr>
      <w:r w:rsidRPr="007D2DF0">
        <w:rPr>
          <w:lang w:val="en-GB"/>
        </w:rPr>
        <w:t>Unite scattered communities around clear, achievable goals related to gender justice and human rights.</w:t>
      </w:r>
    </w:p>
    <w:p w14:paraId="06EBF081" w14:textId="57A285B6" w:rsidR="00FE3090" w:rsidRPr="007D2DF0" w:rsidRDefault="00FE3090" w:rsidP="00CE2416">
      <w:pPr>
        <w:numPr>
          <w:ilvl w:val="0"/>
          <w:numId w:val="1"/>
        </w:numPr>
        <w:jc w:val="both"/>
        <w:rPr>
          <w:lang w:val="en-GB"/>
        </w:rPr>
      </w:pPr>
      <w:r w:rsidRPr="007D2DF0">
        <w:rPr>
          <w:lang w:val="en-GB"/>
        </w:rPr>
        <w:t>Work towards influencing international bodies such as the United Nations, the International Criminal Court, or human rights organi</w:t>
      </w:r>
      <w:r w:rsidR="00D367B0">
        <w:rPr>
          <w:lang w:val="en-GB"/>
        </w:rPr>
        <w:t>s</w:t>
      </w:r>
      <w:r w:rsidRPr="007D2DF0">
        <w:rPr>
          <w:lang w:val="en-GB"/>
        </w:rPr>
        <w:t>ations to recognise gender apartheid as a crime against humanity.</w:t>
      </w:r>
    </w:p>
    <w:p w14:paraId="2476483A" w14:textId="77777777" w:rsidR="00FE3090" w:rsidRPr="007D2DF0" w:rsidRDefault="00FE3090" w:rsidP="00CE2416">
      <w:pPr>
        <w:numPr>
          <w:ilvl w:val="0"/>
          <w:numId w:val="1"/>
        </w:numPr>
        <w:jc w:val="both"/>
        <w:rPr>
          <w:lang w:val="en-GB"/>
        </w:rPr>
      </w:pPr>
      <w:r w:rsidRPr="007D2DF0">
        <w:rPr>
          <w:lang w:val="en-GB"/>
        </w:rPr>
        <w:t>Serve as a pioneering model of grassroots collective action in diaspora contexts, empowering marginalised voices and fostering trust and cooperation.</w:t>
      </w:r>
    </w:p>
    <w:p w14:paraId="68BD97DC" w14:textId="77777777" w:rsidR="00FE3090" w:rsidRPr="007D2DF0" w:rsidRDefault="00FE3090" w:rsidP="00CE2416">
      <w:pPr>
        <w:numPr>
          <w:ilvl w:val="0"/>
          <w:numId w:val="1"/>
        </w:numPr>
        <w:jc w:val="both"/>
        <w:rPr>
          <w:lang w:val="en-GB"/>
        </w:rPr>
      </w:pPr>
      <w:r w:rsidRPr="007D2DF0">
        <w:rPr>
          <w:lang w:val="en-GB"/>
        </w:rPr>
        <w:t>Amplify women’s voices demanding freedom, dignity, and equality worldwide.</w:t>
      </w:r>
    </w:p>
    <w:p w14:paraId="4C77B501" w14:textId="775DD280" w:rsidR="00FE3090" w:rsidRPr="007D2DF0" w:rsidRDefault="00FE3090" w:rsidP="00CE2416">
      <w:pPr>
        <w:jc w:val="both"/>
        <w:rPr>
          <w:lang w:val="en-GB"/>
        </w:rPr>
      </w:pPr>
      <w:r w:rsidRPr="007D2DF0">
        <w:rPr>
          <w:lang w:val="en-GB"/>
        </w:rPr>
        <w:t xml:space="preserve">This </w:t>
      </w:r>
      <w:r w:rsidR="00445B11">
        <w:rPr>
          <w:lang w:val="en-GB"/>
        </w:rPr>
        <w:t>project</w:t>
      </w:r>
      <w:r w:rsidRPr="007D2DF0">
        <w:rPr>
          <w:lang w:val="en-GB"/>
        </w:rPr>
        <w:t xml:space="preserve"> invites people from all backgrounds to stand in solidarity with those suffering under gender apartheid, because justice and freedom are universal.</w:t>
      </w:r>
    </w:p>
    <w:p w14:paraId="2767B84A" w14:textId="77777777" w:rsidR="00FE3090" w:rsidRPr="007D2DF0" w:rsidRDefault="00FE3090" w:rsidP="00FE3090">
      <w:pPr>
        <w:rPr>
          <w:b/>
          <w:bCs/>
          <w:lang w:val="en-GB"/>
        </w:rPr>
      </w:pPr>
      <w:r w:rsidRPr="007D2DF0">
        <w:rPr>
          <w:b/>
          <w:bCs/>
          <w:lang w:val="en-GB"/>
        </w:rPr>
        <w:t>Background &amp; Rationale</w:t>
      </w:r>
    </w:p>
    <w:p w14:paraId="7B0CD51F" w14:textId="0CB2290D" w:rsidR="00513524" w:rsidRPr="001D2467" w:rsidRDefault="00513524" w:rsidP="00727C14">
      <w:pPr>
        <w:pStyle w:val="NormalWeb"/>
        <w:jc w:val="both"/>
        <w:rPr>
          <w:rFonts w:asciiTheme="majorHAnsi" w:hAnsiTheme="majorHAnsi" w:cstheme="majorBidi"/>
          <w:lang w:val="en-GB"/>
        </w:rPr>
      </w:pPr>
      <w:r w:rsidRPr="001D2467">
        <w:rPr>
          <w:rFonts w:asciiTheme="majorHAnsi" w:hAnsiTheme="majorHAnsi" w:cstheme="majorBidi"/>
          <w:lang w:val="en-GB"/>
        </w:rPr>
        <w:t xml:space="preserve">Gender apartheid, a systemic, legal, and cultural framework that enforces discrimination against women, is a critical human rights issue affecting millions worldwide. The urgency of addressing this issue has been underscored by </w:t>
      </w:r>
      <w:r w:rsidRPr="001D2467">
        <w:rPr>
          <w:rStyle w:val="Strong"/>
          <w:rFonts w:asciiTheme="majorHAnsi" w:eastAsiaTheme="majorEastAsia" w:hAnsiTheme="majorHAnsi" w:cstheme="majorBidi"/>
          <w:lang w:val="en-GB"/>
        </w:rPr>
        <w:t xml:space="preserve">United Nations </w:t>
      </w:r>
      <w:r w:rsidRPr="001D2467">
        <w:rPr>
          <w:rFonts w:asciiTheme="majorHAnsi" w:hAnsiTheme="majorHAnsi" w:cstheme="majorBidi"/>
          <w:lang w:val="en-GB"/>
        </w:rPr>
        <w:t>(UN) experts, who have stated</w:t>
      </w:r>
      <w:r w:rsidR="0012686B">
        <w:rPr>
          <w:rFonts w:asciiTheme="majorHAnsi" w:hAnsiTheme="majorHAnsi" w:cstheme="majorBidi"/>
          <w:vertAlign w:val="superscript"/>
          <w:lang w:val="en-GB"/>
        </w:rPr>
        <w:t>6</w:t>
      </w:r>
      <w:r w:rsidRPr="001D2467">
        <w:rPr>
          <w:rFonts w:asciiTheme="majorHAnsi" w:hAnsiTheme="majorHAnsi" w:cstheme="majorBidi"/>
          <w:lang w:val="en-GB"/>
        </w:rPr>
        <w:t>:</w:t>
      </w:r>
    </w:p>
    <w:p w14:paraId="3658FCE0" w14:textId="0D89F51D" w:rsidR="00513524" w:rsidRPr="001D2467" w:rsidRDefault="00513524" w:rsidP="00727C14">
      <w:pPr>
        <w:pStyle w:val="NormalWeb"/>
        <w:ind w:left="567" w:right="850"/>
        <w:jc w:val="center"/>
        <w:rPr>
          <w:rFonts w:asciiTheme="majorHAnsi" w:hAnsiTheme="majorHAnsi" w:cstheme="majorBidi"/>
          <w:lang w:val="en-GB"/>
        </w:rPr>
      </w:pPr>
      <w:r w:rsidRPr="001D2467">
        <w:rPr>
          <w:rStyle w:val="Emphasis"/>
          <w:rFonts w:asciiTheme="majorHAnsi" w:eastAsiaTheme="majorEastAsia" w:hAnsiTheme="majorHAnsi" w:cstheme="majorBidi"/>
          <w:lang w:val="en-GB"/>
        </w:rPr>
        <w:t>“Gender apartheid is not merely a theoretical possibility or legal construct, but a real threat and lived reality for millions of women and girls around the world.”</w:t>
      </w:r>
    </w:p>
    <w:p w14:paraId="0EE9E589" w14:textId="02B0721D" w:rsidR="00513524" w:rsidRPr="001D2467" w:rsidRDefault="00513524" w:rsidP="00727C14">
      <w:pPr>
        <w:pStyle w:val="NormalWeb"/>
        <w:jc w:val="both"/>
        <w:rPr>
          <w:rFonts w:asciiTheme="minorHAnsi" w:eastAsiaTheme="minorHAnsi" w:hAnsiTheme="minorHAnsi" w:cstheme="minorBidi"/>
          <w:kern w:val="2"/>
          <w:sz w:val="22"/>
          <w:szCs w:val="22"/>
          <w:lang w:val="en-GB" w:eastAsia="en-US"/>
          <w14:ligatures w14:val="standardContextual"/>
        </w:rPr>
      </w:pPr>
      <w:r w:rsidRPr="001D2467">
        <w:rPr>
          <w:rFonts w:asciiTheme="minorHAnsi" w:eastAsiaTheme="minorHAnsi" w:hAnsiTheme="minorHAnsi" w:cstheme="minorBidi"/>
          <w:kern w:val="2"/>
          <w:sz w:val="22"/>
          <w:szCs w:val="22"/>
          <w:lang w:val="en-GB" w:eastAsia="en-US"/>
          <w14:ligatures w14:val="standardContextual"/>
        </w:rPr>
        <w:t>In Iran and Afghanistan, this is manifested not only through enforced norms like compulsory hijab, but more deeply through structural barriers that deny women equal access to education</w:t>
      </w:r>
      <w:r w:rsidR="00E5624E">
        <w:rPr>
          <w:rFonts w:asciiTheme="minorHAnsi" w:eastAsiaTheme="minorHAnsi" w:hAnsiTheme="minorHAnsi" w:cstheme="minorBidi"/>
          <w:kern w:val="2"/>
          <w:sz w:val="22"/>
          <w:szCs w:val="22"/>
          <w:lang w:val="en-GB" w:eastAsia="en-US"/>
          <w14:ligatures w14:val="standardContextual"/>
        </w:rPr>
        <w:t>, economic stability</w:t>
      </w:r>
      <w:r w:rsidRPr="001D2467">
        <w:rPr>
          <w:rFonts w:asciiTheme="minorHAnsi" w:eastAsiaTheme="minorHAnsi" w:hAnsiTheme="minorHAnsi" w:cstheme="minorBidi"/>
          <w:kern w:val="2"/>
          <w:sz w:val="22"/>
          <w:szCs w:val="22"/>
          <w:lang w:val="en-GB" w:eastAsia="en-US"/>
          <w14:ligatures w14:val="standardContextual"/>
        </w:rPr>
        <w:t xml:space="preserve"> and political participation. For example, </w:t>
      </w:r>
      <w:r w:rsidR="00E678E5">
        <w:rPr>
          <w:rFonts w:asciiTheme="minorHAnsi" w:eastAsiaTheme="minorHAnsi" w:hAnsiTheme="minorHAnsi" w:cstheme="minorBidi"/>
          <w:kern w:val="2"/>
          <w:sz w:val="22"/>
          <w:szCs w:val="22"/>
          <w:lang w:val="en-GB" w:eastAsia="en-US"/>
          <w14:ligatures w14:val="standardContextual"/>
        </w:rPr>
        <w:t>within the punitive law</w:t>
      </w:r>
      <w:r w:rsidR="00BD128B">
        <w:rPr>
          <w:rFonts w:asciiTheme="minorHAnsi" w:eastAsiaTheme="minorHAnsi" w:hAnsiTheme="minorHAnsi" w:cstheme="minorBidi"/>
          <w:kern w:val="2"/>
          <w:sz w:val="22"/>
          <w:szCs w:val="22"/>
          <w:lang w:val="en-GB" w:eastAsia="en-US"/>
          <w14:ligatures w14:val="standardContextual"/>
        </w:rPr>
        <w:t>s</w:t>
      </w:r>
      <w:r w:rsidR="00E678E5">
        <w:rPr>
          <w:rFonts w:asciiTheme="minorHAnsi" w:eastAsiaTheme="minorHAnsi" w:hAnsiTheme="minorHAnsi" w:cstheme="minorBidi"/>
          <w:kern w:val="2"/>
          <w:sz w:val="22"/>
          <w:szCs w:val="22"/>
          <w:lang w:val="en-GB" w:eastAsia="en-US"/>
          <w14:ligatures w14:val="standardContextual"/>
        </w:rPr>
        <w:t xml:space="preserve"> in </w:t>
      </w:r>
      <w:r w:rsidRPr="001D2467">
        <w:rPr>
          <w:rFonts w:asciiTheme="minorHAnsi" w:eastAsiaTheme="minorHAnsi" w:hAnsiTheme="minorHAnsi" w:cstheme="minorBidi"/>
          <w:kern w:val="2"/>
          <w:sz w:val="22"/>
          <w:szCs w:val="22"/>
          <w:lang w:val="en-GB" w:eastAsia="en-US"/>
          <w14:ligatures w14:val="standardContextual"/>
        </w:rPr>
        <w:t>Iran, a woman’s life is valued at half that of a man’s, and women cannot divorce or even travel without the permission of their husband or father. Women in Afghanistan under the Taliban face restrictions far beyond those in Iran.</w:t>
      </w:r>
    </w:p>
    <w:p w14:paraId="23C8B0D3" w14:textId="44165D8C" w:rsidR="00FE3090" w:rsidRPr="007D2DF0" w:rsidRDefault="00FE3090" w:rsidP="00CE2416">
      <w:pPr>
        <w:jc w:val="both"/>
        <w:rPr>
          <w:lang w:val="en-GB"/>
        </w:rPr>
      </w:pPr>
      <w:r w:rsidRPr="007D2DF0">
        <w:rPr>
          <w:lang w:val="en-GB"/>
        </w:rPr>
        <w:t xml:space="preserve">While citizen initiatives in democratic contexts, such as </w:t>
      </w:r>
      <w:r w:rsidR="009C105D" w:rsidRPr="007D2DF0">
        <w:rPr>
          <w:lang w:val="en-GB"/>
        </w:rPr>
        <w:t xml:space="preserve">in </w:t>
      </w:r>
      <w:r w:rsidRPr="007D2DF0">
        <w:rPr>
          <w:lang w:val="en-GB"/>
        </w:rPr>
        <w:t xml:space="preserve">the European Union (EU), often work within existing legal frameworks to shift social norms, in authoritarian settings like Iran and Afghanistan, such efforts are inherently political, aiming to challenge and change discriminatory laws. These two contexts differ profoundly in both the nature of the challenges and the state’s response, which is supportive in one and repressive in the other. This project recognises these differences and demonstrates that, despite these contrasts, the underlying mechanism of </w:t>
      </w:r>
      <w:r w:rsidRPr="007D2DF0">
        <w:rPr>
          <w:lang w:val="en-GB"/>
        </w:rPr>
        <w:lastRenderedPageBreak/>
        <w:t xml:space="preserve">facilitating collective action, through shared goals, trust-building, and public reasoning, can be effective in both contexts. By successfully organising such an initiative within the diaspora, the </w:t>
      </w:r>
      <w:r w:rsidRPr="00936135">
        <w:rPr>
          <w:b/>
          <w:bCs/>
          <w:lang w:val="en-GB"/>
        </w:rPr>
        <w:t>project illustrates that cooperation and collective agency</w:t>
      </w:r>
      <w:r w:rsidRPr="007D2DF0">
        <w:rPr>
          <w:lang w:val="en-GB"/>
        </w:rPr>
        <w:t xml:space="preserve"> are possible, even under fragmented and high-pressure conditions, offering a model that opposition actors might adapt for very different strategic needs within Iran.</w:t>
      </w:r>
    </w:p>
    <w:p w14:paraId="6A5DEE10" w14:textId="6E9F58F9" w:rsidR="007B1921" w:rsidRPr="007D2DF0" w:rsidRDefault="007B1921" w:rsidP="00CE2416">
      <w:pPr>
        <w:jc w:val="both"/>
        <w:rPr>
          <w:lang w:val="en-GB"/>
        </w:rPr>
      </w:pPr>
      <w:r w:rsidRPr="007D2DF0">
        <w:rPr>
          <w:lang w:val="en-GB"/>
        </w:rPr>
        <w:t>Indeed, social goals like gender justice are harder to argue against publicly; even those who resist them privately are unlikely to openly oppose them. This creates a space where public discourse can push norms forward and unite diverse voices, including Iranian and Afghan allies, around shared principles of equality.</w:t>
      </w:r>
    </w:p>
    <w:p w14:paraId="65345442" w14:textId="20967CEF" w:rsidR="00FE3090" w:rsidRPr="007D2DF0" w:rsidRDefault="00FE3090" w:rsidP="00CE2416">
      <w:pPr>
        <w:jc w:val="both"/>
        <w:rPr>
          <w:lang w:val="en-GB"/>
        </w:rPr>
      </w:pPr>
      <w:r w:rsidRPr="007D2DF0">
        <w:rPr>
          <w:lang w:val="en-GB"/>
        </w:rPr>
        <w:t xml:space="preserve">This project employs the concept of </w:t>
      </w:r>
      <w:r w:rsidRPr="003248D3">
        <w:rPr>
          <w:b/>
          <w:bCs/>
          <w:lang w:val="en-GB"/>
        </w:rPr>
        <w:t>public reasoning</w:t>
      </w:r>
      <w:r w:rsidRPr="007D2DF0">
        <w:rPr>
          <w:lang w:val="en-GB"/>
        </w:rPr>
        <w:t>, as outlined by thinkers such as Jürgen Habermas and Amartya Sen, to promote inclusive dialogue. It also draws on Elinor Ostrom’s research on governing the commons to facilitate goal-oriented collective action within a fragmented diaspora community.</w:t>
      </w:r>
    </w:p>
    <w:p w14:paraId="23915E5E" w14:textId="5BBE5497" w:rsidR="00FE3090" w:rsidRPr="007D2DF0" w:rsidRDefault="00FE3090" w:rsidP="00FE3090">
      <w:pPr>
        <w:rPr>
          <w:b/>
          <w:bCs/>
          <w:lang w:val="en-GB"/>
        </w:rPr>
      </w:pPr>
      <w:r w:rsidRPr="007D2DF0">
        <w:rPr>
          <w:b/>
          <w:bCs/>
          <w:lang w:val="en-GB"/>
        </w:rPr>
        <w:t>Existing Initiatives</w:t>
      </w:r>
    </w:p>
    <w:p w14:paraId="3B631018" w14:textId="522129F1" w:rsidR="00F43F57" w:rsidRDefault="00FE3090" w:rsidP="00872AB9">
      <w:pPr>
        <w:jc w:val="both"/>
        <w:rPr>
          <w:lang w:val="en-GB"/>
        </w:rPr>
      </w:pPr>
      <w:r w:rsidRPr="007D2DF0">
        <w:rPr>
          <w:lang w:val="en-GB"/>
        </w:rPr>
        <w:t xml:space="preserve">Today, several advocacy and research initiatives are already addressing gender apartheid in Iran and Afghanistan. </w:t>
      </w:r>
      <w:r w:rsidR="005A4C6C">
        <w:rPr>
          <w:lang w:val="en-GB"/>
        </w:rPr>
        <w:t xml:space="preserve"> </w:t>
      </w:r>
    </w:p>
    <w:p w14:paraId="2EA5BEF1" w14:textId="1473451B" w:rsidR="00544065" w:rsidRPr="007D2DF0" w:rsidRDefault="00FE3090" w:rsidP="00872AB9">
      <w:pPr>
        <w:jc w:val="both"/>
        <w:rPr>
          <w:lang w:val="en-GB"/>
        </w:rPr>
      </w:pPr>
      <w:r w:rsidRPr="007D2DF0">
        <w:rPr>
          <w:lang w:val="en-GB"/>
        </w:rPr>
        <w:t>Internationally, campaigns such as the </w:t>
      </w:r>
      <w:r w:rsidRPr="007D2DF0">
        <w:rPr>
          <w:i/>
          <w:iCs/>
          <w:lang w:val="en-GB"/>
        </w:rPr>
        <w:t>End Gender Aparthei</w:t>
      </w:r>
      <w:r w:rsidRPr="00E47F9D">
        <w:rPr>
          <w:i/>
          <w:iCs/>
          <w:lang w:val="en-GB"/>
        </w:rPr>
        <w:t>d initiative</w:t>
      </w:r>
      <w:proofErr w:type="gramStart"/>
      <w:r w:rsidR="00294DE0">
        <w:rPr>
          <w:vertAlign w:val="superscript"/>
          <w:lang w:val="en-GB"/>
        </w:rPr>
        <w:t>7</w:t>
      </w:r>
      <w:r w:rsidR="005F5F13">
        <w:rPr>
          <w:vertAlign w:val="superscript"/>
          <w:lang w:val="en-GB"/>
        </w:rPr>
        <w:t xml:space="preserve"> </w:t>
      </w:r>
      <w:r w:rsidR="005F5F13">
        <w:rPr>
          <w:rFonts w:asciiTheme="majorBidi" w:hAnsiTheme="majorBidi" w:cstheme="majorBidi"/>
          <w:sz w:val="24"/>
          <w:szCs w:val="24"/>
          <w:lang w:val="en-GB"/>
        </w:rPr>
        <w:t>,</w:t>
      </w:r>
      <w:proofErr w:type="gramEnd"/>
      <w:r w:rsidR="005F5F13">
        <w:rPr>
          <w:rFonts w:asciiTheme="majorBidi" w:hAnsiTheme="majorBidi" w:cstheme="majorBidi"/>
          <w:sz w:val="24"/>
          <w:szCs w:val="24"/>
          <w:lang w:val="en-GB"/>
        </w:rPr>
        <w:t xml:space="preserve"> </w:t>
      </w:r>
      <w:r w:rsidR="005F5F13" w:rsidRPr="005F5F13">
        <w:rPr>
          <w:rFonts w:asciiTheme="majorBidi" w:hAnsiTheme="majorBidi" w:cstheme="majorBidi"/>
          <w:i/>
          <w:iCs/>
          <w:sz w:val="24"/>
          <w:szCs w:val="24"/>
          <w:lang w:val="en-GB"/>
        </w:rPr>
        <w:t>United Against Gender Apartheid</w:t>
      </w:r>
      <w:r w:rsidR="005F5F13">
        <w:rPr>
          <w:rFonts w:asciiTheme="majorBidi" w:hAnsiTheme="majorBidi" w:cstheme="majorBidi"/>
          <w:sz w:val="24"/>
          <w:szCs w:val="24"/>
          <w:lang w:val="en-GB"/>
        </w:rPr>
        <w:t xml:space="preserve"> a</w:t>
      </w:r>
      <w:r w:rsidR="005A4C6C" w:rsidRPr="002141AB">
        <w:rPr>
          <w:rFonts w:asciiTheme="majorBidi" w:hAnsiTheme="majorBidi" w:cstheme="majorBidi"/>
          <w:sz w:val="24"/>
          <w:szCs w:val="24"/>
          <w:lang w:val="en-GB"/>
        </w:rPr>
        <w:t xml:space="preserve">nd </w:t>
      </w:r>
      <w:r w:rsidR="005A4C6C" w:rsidRPr="002141AB">
        <w:rPr>
          <w:rFonts w:asciiTheme="majorBidi" w:hAnsiTheme="majorBidi" w:cstheme="majorBidi"/>
          <w:i/>
          <w:iCs/>
          <w:sz w:val="24"/>
          <w:szCs w:val="24"/>
          <w:lang w:val="en-GB"/>
        </w:rPr>
        <w:t>Gender Apartheid Inquiry</w:t>
      </w:r>
      <w:r w:rsidR="009C4BC9">
        <w:rPr>
          <w:rFonts w:asciiTheme="majorBidi" w:hAnsiTheme="majorBidi" w:cstheme="majorBidi"/>
          <w:sz w:val="24"/>
          <w:szCs w:val="24"/>
          <w:vertAlign w:val="superscript"/>
          <w:lang w:val="en-GB"/>
        </w:rPr>
        <w:t>8</w:t>
      </w:r>
      <w:r w:rsidR="00FD4857">
        <w:rPr>
          <w:rFonts w:asciiTheme="majorBidi" w:hAnsiTheme="majorBidi" w:cstheme="majorBidi"/>
          <w:sz w:val="24"/>
          <w:szCs w:val="24"/>
          <w:lang w:val="en-GB"/>
        </w:rPr>
        <w:t xml:space="preserve"> </w:t>
      </w:r>
      <w:r w:rsidRPr="007D2DF0">
        <w:rPr>
          <w:lang w:val="en-GB"/>
        </w:rPr>
        <w:t>bring together Afghan and Iranian activists, lawyers, and global human rights organisations to codify gender apartheid in international law. Amnesty International</w:t>
      </w:r>
      <w:r w:rsidR="008134A0">
        <w:rPr>
          <w:vertAlign w:val="superscript"/>
          <w:lang w:val="en-GB"/>
        </w:rPr>
        <w:t>9</w:t>
      </w:r>
      <w:r w:rsidRPr="007D2DF0">
        <w:rPr>
          <w:lang w:val="en-GB"/>
        </w:rPr>
        <w:t>, Human Rights Watch</w:t>
      </w:r>
      <w:r w:rsidR="00333A72">
        <w:rPr>
          <w:vertAlign w:val="superscript"/>
          <w:lang w:val="en-GB"/>
        </w:rPr>
        <w:t>10</w:t>
      </w:r>
      <w:r w:rsidRPr="007D2DF0">
        <w:rPr>
          <w:lang w:val="en-GB"/>
        </w:rPr>
        <w:t>, and the Georgetown Institute for Wome</w:t>
      </w:r>
      <w:r w:rsidR="00D14D43">
        <w:rPr>
          <w:lang w:val="en-GB"/>
        </w:rPr>
        <w:t>n</w:t>
      </w:r>
      <w:r w:rsidRPr="007D2DF0">
        <w:rPr>
          <w:lang w:val="en-GB"/>
        </w:rPr>
        <w:t>, Peace &amp; Security</w:t>
      </w:r>
      <w:r w:rsidR="006C1FF6">
        <w:rPr>
          <w:vertAlign w:val="superscript"/>
          <w:lang w:val="en-GB"/>
        </w:rPr>
        <w:t>11</w:t>
      </w:r>
      <w:r w:rsidRPr="007D2DF0">
        <w:rPr>
          <w:lang w:val="en-GB"/>
        </w:rPr>
        <w:t xml:space="preserve"> have documented the Taliban’s systematic exclusion of women and explicitly linked it to apartheid frameworks. In Canada, groups like </w:t>
      </w:r>
      <w:r w:rsidRPr="007D2DF0">
        <w:rPr>
          <w:i/>
          <w:iCs/>
          <w:lang w:val="en-GB"/>
        </w:rPr>
        <w:t>Canadian Women for Women in Afghanistan</w:t>
      </w:r>
      <w:r w:rsidR="00A900EC">
        <w:rPr>
          <w:vertAlign w:val="superscript"/>
          <w:lang w:val="en-GB"/>
        </w:rPr>
        <w:t>12</w:t>
      </w:r>
      <w:r w:rsidRPr="007D2DF0">
        <w:rPr>
          <w:lang w:val="en-GB"/>
        </w:rPr>
        <w:t xml:space="preserve"> continue grassroots advocacy, while the </w:t>
      </w:r>
      <w:r w:rsidR="00553994" w:rsidRPr="007D2DF0">
        <w:rPr>
          <w:lang w:val="en-GB"/>
        </w:rPr>
        <w:t>Centre</w:t>
      </w:r>
      <w:r w:rsidRPr="007D2DF0">
        <w:rPr>
          <w:lang w:val="en-GB"/>
        </w:rPr>
        <w:t xml:space="preserve"> for Human Rights in Iran</w:t>
      </w:r>
      <w:r w:rsidR="00A900EC">
        <w:rPr>
          <w:vertAlign w:val="superscript"/>
          <w:lang w:val="en-GB"/>
        </w:rPr>
        <w:t>13</w:t>
      </w:r>
      <w:r w:rsidRPr="007D2DF0">
        <w:rPr>
          <w:lang w:val="en-GB"/>
        </w:rPr>
        <w:t xml:space="preserve"> focuses on documenting discriminatory laws and practices within Iran.</w:t>
      </w:r>
      <w:r w:rsidR="00872AB9">
        <w:rPr>
          <w:lang w:val="en-GB"/>
        </w:rPr>
        <w:t xml:space="preserve"> </w:t>
      </w:r>
      <w:r w:rsidR="00445B11">
        <w:rPr>
          <w:lang w:val="en-GB"/>
        </w:rPr>
        <w:t>S</w:t>
      </w:r>
      <w:r w:rsidRPr="007D2DF0">
        <w:rPr>
          <w:lang w:val="en-GB"/>
        </w:rPr>
        <w:t>mall but significant coalitions</w:t>
      </w:r>
      <w:r w:rsidR="00872AB9">
        <w:rPr>
          <w:lang w:val="en-GB"/>
        </w:rPr>
        <w:t xml:space="preserve">, </w:t>
      </w:r>
      <w:r w:rsidRPr="007D2DF0">
        <w:rPr>
          <w:lang w:val="en-GB"/>
        </w:rPr>
        <w:t xml:space="preserve">such as the Iranian Diaspora </w:t>
      </w:r>
      <w:r w:rsidR="002123BA">
        <w:rPr>
          <w:lang w:val="en-GB"/>
        </w:rPr>
        <w:t>Collective</w:t>
      </w:r>
      <w:r w:rsidR="00A900EC">
        <w:rPr>
          <w:vertAlign w:val="superscript"/>
          <w:lang w:val="en-GB"/>
        </w:rPr>
        <w:t>14</w:t>
      </w:r>
      <w:r w:rsidRPr="007D2DF0">
        <w:rPr>
          <w:lang w:val="en-GB"/>
        </w:rPr>
        <w:t>, Afghan diaspora advocacy groups, and various grassroots women-led organisations</w:t>
      </w:r>
      <w:r w:rsidR="00872AB9">
        <w:rPr>
          <w:lang w:val="en-GB"/>
        </w:rPr>
        <w:t xml:space="preserve">, </w:t>
      </w:r>
      <w:r w:rsidRPr="007D2DF0">
        <w:rPr>
          <w:lang w:val="en-GB"/>
        </w:rPr>
        <w:t>mobilise around campaigns, conferences, and lobbying efforts, often in fragmented but overlapping ways.</w:t>
      </w:r>
      <w:r w:rsidR="00C375AA" w:rsidRPr="007D2DF0">
        <w:rPr>
          <w:lang w:val="en-GB"/>
        </w:rPr>
        <w:t xml:space="preserve"> The existing initiatives largely emphasise documentation, lobbying, or legal recognition: </w:t>
      </w:r>
      <w:r w:rsidR="00C375AA" w:rsidRPr="00FD4857">
        <w:rPr>
          <w:b/>
          <w:bCs/>
          <w:lang w:val="en-GB"/>
        </w:rPr>
        <w:t>our project aims at contributing in complementary ways</w:t>
      </w:r>
      <w:r w:rsidR="00C375AA" w:rsidRPr="007D2DF0">
        <w:rPr>
          <w:lang w:val="en-GB"/>
        </w:rPr>
        <w:t>.</w:t>
      </w:r>
    </w:p>
    <w:p w14:paraId="7FC223CA" w14:textId="024AC130" w:rsidR="00544065" w:rsidRPr="007D2DF0" w:rsidRDefault="00544065" w:rsidP="007B1921">
      <w:pPr>
        <w:rPr>
          <w:b/>
          <w:bCs/>
          <w:lang w:val="en-GB"/>
        </w:rPr>
      </w:pPr>
      <w:r w:rsidRPr="007D2DF0">
        <w:rPr>
          <w:b/>
          <w:bCs/>
          <w:lang w:val="en-GB"/>
        </w:rPr>
        <w:t>Our Approach</w:t>
      </w:r>
    </w:p>
    <w:p w14:paraId="184C44A5" w14:textId="32BB601F" w:rsidR="007B1921" w:rsidRPr="007D2DF0" w:rsidRDefault="00AD1ED0" w:rsidP="007B1921">
      <w:pPr>
        <w:jc w:val="both"/>
        <w:rPr>
          <w:lang w:val="en-GB"/>
        </w:rPr>
      </w:pPr>
      <w:r w:rsidRPr="007D2DF0">
        <w:rPr>
          <w:b/>
          <w:bCs/>
          <w:lang w:val="en-GB"/>
        </w:rPr>
        <w:t>From advocacy to collective action capacity:</w:t>
      </w:r>
      <w:r w:rsidRPr="007D2DF0">
        <w:rPr>
          <w:lang w:val="en-GB"/>
        </w:rPr>
        <w:t xml:space="preserve"> </w:t>
      </w:r>
      <w:r w:rsidR="00553994" w:rsidRPr="007D2DF0">
        <w:rPr>
          <w:lang w:val="en-GB"/>
        </w:rPr>
        <w:t>France today hosts an estimated 118,000 individuals of Iranian origin and approximately 100,000 Afghans. These communities represent a significant part of the diaspora directly affected by gender apartheid and hold unique potential to mobilise, advocate, and influence public discourse in Europe.</w:t>
      </w:r>
      <w:r w:rsidR="00C375AA" w:rsidRPr="007D2DF0">
        <w:rPr>
          <w:lang w:val="en-GB"/>
        </w:rPr>
        <w:t xml:space="preserve"> Our</w:t>
      </w:r>
      <w:r w:rsidR="007B1921" w:rsidRPr="007D2DF0">
        <w:rPr>
          <w:lang w:val="en-GB"/>
        </w:rPr>
        <w:t xml:space="preserve"> project focuses on the diaspora as a laboratory for trust-building, cooperation, and public reasoning. </w:t>
      </w:r>
      <w:r w:rsidRPr="007D2DF0">
        <w:rPr>
          <w:lang w:val="en-GB"/>
        </w:rPr>
        <w:t>Among the diaspora communities, the barriers to collective action stem from a lack of political culture, such as limited experience with organi</w:t>
      </w:r>
      <w:r w:rsidR="00D367B0">
        <w:rPr>
          <w:lang w:val="en-GB"/>
        </w:rPr>
        <w:t>s</w:t>
      </w:r>
      <w:r w:rsidRPr="007D2DF0">
        <w:rPr>
          <w:lang w:val="en-GB"/>
        </w:rPr>
        <w:t>ation-building, institutional engagement, public debate, and the absence of shared civic values. These barriers will be analysed and, b</w:t>
      </w:r>
      <w:r w:rsidR="007B1921" w:rsidRPr="007D2DF0">
        <w:rPr>
          <w:lang w:val="en-GB"/>
        </w:rPr>
        <w:t xml:space="preserve">y creating structures where fragmented diaspora groups can collaborate around concrete shared goals, </w:t>
      </w:r>
      <w:r w:rsidRPr="007D2DF0">
        <w:rPr>
          <w:lang w:val="en-GB"/>
        </w:rPr>
        <w:t>we</w:t>
      </w:r>
      <w:r w:rsidR="007B1921" w:rsidRPr="007D2DF0">
        <w:rPr>
          <w:lang w:val="en-GB"/>
        </w:rPr>
        <w:t xml:space="preserve"> </w:t>
      </w:r>
      <w:r w:rsidR="00C375AA" w:rsidRPr="007D2DF0">
        <w:rPr>
          <w:lang w:val="en-GB"/>
        </w:rPr>
        <w:t xml:space="preserve">will </w:t>
      </w:r>
      <w:r w:rsidR="007B1921" w:rsidRPr="007D2DF0">
        <w:rPr>
          <w:lang w:val="en-GB"/>
        </w:rPr>
        <w:t xml:space="preserve">develop a transferable model of collective agency that </w:t>
      </w:r>
      <w:r w:rsidR="00C375AA" w:rsidRPr="007D2DF0">
        <w:rPr>
          <w:lang w:val="en-GB"/>
        </w:rPr>
        <w:t>will</w:t>
      </w:r>
      <w:r w:rsidR="007B1921" w:rsidRPr="007D2DF0">
        <w:rPr>
          <w:lang w:val="en-GB"/>
        </w:rPr>
        <w:t xml:space="preserve"> strengthen broader movements for democratic change.</w:t>
      </w:r>
    </w:p>
    <w:p w14:paraId="5F30ADAA" w14:textId="290FA1E5" w:rsidR="00AD1ED0" w:rsidRPr="007D2DF0" w:rsidRDefault="00AD1ED0" w:rsidP="007B1921">
      <w:pPr>
        <w:jc w:val="both"/>
        <w:rPr>
          <w:lang w:val="en-GB"/>
        </w:rPr>
      </w:pPr>
      <w:r w:rsidRPr="007D2DF0">
        <w:rPr>
          <w:b/>
          <w:bCs/>
          <w:lang w:val="en-GB"/>
        </w:rPr>
        <w:t>Theoretical grounding with practical application:</w:t>
      </w:r>
      <w:r w:rsidRPr="007D2DF0">
        <w:rPr>
          <w:lang w:val="en-GB"/>
        </w:rPr>
        <w:t> While many grassroots groups work reactively, this project explicitly grounds its design in the theories of Habermas (public reasoning), Sen (justice and inclusive dialogue), and Ostrom (commons governance). This ensures that practices like consensus-building, resource-sharing, and coalition governance are intentionally structured rather than improvised.</w:t>
      </w:r>
    </w:p>
    <w:p w14:paraId="063DBC5F" w14:textId="5E8D64BA" w:rsidR="008F43A0" w:rsidRPr="007D2DF0" w:rsidRDefault="00DB3B3D" w:rsidP="00AD1ED0">
      <w:pPr>
        <w:jc w:val="both"/>
        <w:rPr>
          <w:lang w:val="en-GB"/>
        </w:rPr>
      </w:pPr>
      <w:r w:rsidRPr="007D2DF0">
        <w:rPr>
          <w:b/>
          <w:bCs/>
          <w:lang w:val="en-GB"/>
        </w:rPr>
        <w:lastRenderedPageBreak/>
        <w:t xml:space="preserve">Community Mapping and Engagement: </w:t>
      </w:r>
      <w:r w:rsidRPr="007D2DF0">
        <w:rPr>
          <w:lang w:val="en-GB"/>
        </w:rPr>
        <w:t xml:space="preserve">we will start by identifying and connecting with Iranian and Afghan diaspora groups, women’s rights activists, human rights NGOs, and sympathetic allies in Paris and </w:t>
      </w:r>
      <w:r w:rsidR="00C76DD5">
        <w:rPr>
          <w:lang w:val="en-GB"/>
        </w:rPr>
        <w:t>internationally</w:t>
      </w:r>
      <w:r w:rsidRPr="007D2DF0">
        <w:rPr>
          <w:lang w:val="en-GB"/>
        </w:rPr>
        <w:t xml:space="preserve">. This will result in a small but functional coalition within </w:t>
      </w:r>
      <w:r w:rsidR="00457DFD">
        <w:rPr>
          <w:lang w:val="en-GB"/>
        </w:rPr>
        <w:t>I</w:t>
      </w:r>
      <w:r w:rsidRPr="007D2DF0">
        <w:rPr>
          <w:lang w:val="en-GB"/>
        </w:rPr>
        <w:t>ranian and Afghan diasporas to facilitate trust, access, and coordination.</w:t>
      </w:r>
      <w:r w:rsidR="00AD1ED0" w:rsidRPr="007D2DF0">
        <w:rPr>
          <w:lang w:val="en-GB"/>
        </w:rPr>
        <w:t xml:space="preserve"> </w:t>
      </w:r>
      <w:r w:rsidR="00623554" w:rsidRPr="00577E55">
        <w:rPr>
          <w:lang w:val="en-GB"/>
        </w:rPr>
        <w:t>B</w:t>
      </w:r>
      <w:r w:rsidR="00623554" w:rsidRPr="007D2DF0">
        <w:rPr>
          <w:lang w:val="en-GB"/>
        </w:rPr>
        <w:t>y actively implementing mechanisms to foster collective action</w:t>
      </w:r>
      <w:r w:rsidR="00A41CED" w:rsidRPr="007D2DF0">
        <w:rPr>
          <w:lang w:val="en-GB"/>
        </w:rPr>
        <w:t>, w</w:t>
      </w:r>
      <w:r w:rsidR="008F43A0" w:rsidRPr="007D2DF0">
        <w:rPr>
          <w:lang w:val="en-GB"/>
        </w:rPr>
        <w:t>e will reinforce</w:t>
      </w:r>
      <w:r w:rsidR="00CE2416" w:rsidRPr="007D2DF0">
        <w:rPr>
          <w:lang w:val="en-GB"/>
        </w:rPr>
        <w:t xml:space="preserve"> </w:t>
      </w:r>
      <w:r w:rsidR="00AD1ED0" w:rsidRPr="007D2DF0">
        <w:rPr>
          <w:lang w:val="en-GB"/>
        </w:rPr>
        <w:t>t</w:t>
      </w:r>
      <w:r w:rsidR="00CE2416" w:rsidRPr="007D2DF0">
        <w:rPr>
          <w:lang w:val="en-GB"/>
        </w:rPr>
        <w:t>rust</w:t>
      </w:r>
      <w:r w:rsidR="00CE2416" w:rsidRPr="007D2DF0">
        <w:rPr>
          <w:b/>
          <w:bCs/>
          <w:lang w:val="en-GB"/>
        </w:rPr>
        <w:t xml:space="preserve"> </w:t>
      </w:r>
      <w:r w:rsidR="008F43A0" w:rsidRPr="007D2DF0">
        <w:rPr>
          <w:lang w:val="en-GB"/>
        </w:rPr>
        <w:t xml:space="preserve">among this coalition </w:t>
      </w:r>
      <w:r w:rsidR="00CE2416" w:rsidRPr="007D2DF0">
        <w:rPr>
          <w:lang w:val="en-GB"/>
        </w:rPr>
        <w:t>through</w:t>
      </w:r>
      <w:r w:rsidR="00CE2416" w:rsidRPr="007D2DF0">
        <w:rPr>
          <w:b/>
          <w:bCs/>
          <w:lang w:val="en-GB"/>
        </w:rPr>
        <w:t xml:space="preserve"> </w:t>
      </w:r>
      <w:r w:rsidR="008F43A0" w:rsidRPr="007D2DF0">
        <w:rPr>
          <w:b/>
          <w:bCs/>
          <w:lang w:val="en-GB"/>
        </w:rPr>
        <w:t>a</w:t>
      </w:r>
      <w:r w:rsidR="00CE2416" w:rsidRPr="007D2DF0">
        <w:rPr>
          <w:b/>
          <w:bCs/>
          <w:lang w:val="en-GB"/>
        </w:rPr>
        <w:t xml:space="preserve">chievable </w:t>
      </w:r>
      <w:r w:rsidR="008F43A0" w:rsidRPr="007D2DF0">
        <w:rPr>
          <w:b/>
          <w:bCs/>
          <w:lang w:val="en-GB"/>
        </w:rPr>
        <w:t>i</w:t>
      </w:r>
      <w:r w:rsidR="00CE2416" w:rsidRPr="007D2DF0">
        <w:rPr>
          <w:b/>
          <w:bCs/>
          <w:lang w:val="en-GB"/>
        </w:rPr>
        <w:t>nitiatives</w:t>
      </w:r>
      <w:r w:rsidR="008F43A0" w:rsidRPr="007D2DF0">
        <w:rPr>
          <w:lang w:val="en-GB"/>
        </w:rPr>
        <w:t>:</w:t>
      </w:r>
    </w:p>
    <w:p w14:paraId="3107C228" w14:textId="791723EB" w:rsidR="00E41264" w:rsidRPr="007D2DF0" w:rsidRDefault="00CE2416" w:rsidP="00E41264">
      <w:pPr>
        <w:pStyle w:val="ListParagraph"/>
        <w:numPr>
          <w:ilvl w:val="0"/>
          <w:numId w:val="8"/>
        </w:numPr>
        <w:tabs>
          <w:tab w:val="clear" w:pos="720"/>
          <w:tab w:val="num" w:pos="284"/>
        </w:tabs>
        <w:ind w:left="284" w:hanging="284"/>
        <w:jc w:val="both"/>
        <w:rPr>
          <w:lang w:val="en-GB"/>
        </w:rPr>
      </w:pPr>
      <w:r w:rsidRPr="007D2DF0">
        <w:rPr>
          <w:lang w:val="en-GB"/>
        </w:rPr>
        <w:t xml:space="preserve">Launch a pilot campaign focused on </w:t>
      </w:r>
      <w:r w:rsidR="00A41CED" w:rsidRPr="007D2DF0">
        <w:rPr>
          <w:lang w:val="en-GB"/>
        </w:rPr>
        <w:t xml:space="preserve">one </w:t>
      </w:r>
      <w:r w:rsidRPr="007D2DF0">
        <w:rPr>
          <w:lang w:val="en-GB"/>
        </w:rPr>
        <w:t xml:space="preserve">unifying objective: raising awareness of </w:t>
      </w:r>
      <w:r w:rsidR="00720AC3" w:rsidRPr="007D2DF0">
        <w:rPr>
          <w:lang w:val="en-GB"/>
        </w:rPr>
        <w:t xml:space="preserve">spread of </w:t>
      </w:r>
      <w:r w:rsidRPr="007D2DF0">
        <w:rPr>
          <w:lang w:val="en-GB"/>
        </w:rPr>
        <w:t xml:space="preserve">gender apartheid </w:t>
      </w:r>
      <w:r w:rsidR="00720AC3" w:rsidRPr="007D2DF0">
        <w:rPr>
          <w:lang w:val="en-GB"/>
        </w:rPr>
        <w:t>in Iran and Afghanistan</w:t>
      </w:r>
      <w:r w:rsidRPr="007D2DF0">
        <w:rPr>
          <w:lang w:val="en-GB"/>
        </w:rPr>
        <w:t>.</w:t>
      </w:r>
    </w:p>
    <w:p w14:paraId="26CA544D" w14:textId="6E089263" w:rsidR="003B656A" w:rsidRPr="00B515B3" w:rsidRDefault="00EE2AD1" w:rsidP="00B515B3">
      <w:pPr>
        <w:pStyle w:val="ListParagraph"/>
        <w:numPr>
          <w:ilvl w:val="0"/>
          <w:numId w:val="8"/>
        </w:numPr>
        <w:tabs>
          <w:tab w:val="clear" w:pos="720"/>
          <w:tab w:val="num" w:pos="284"/>
        </w:tabs>
        <w:ind w:left="284" w:hanging="284"/>
        <w:jc w:val="both"/>
        <w:rPr>
          <w:lang w:val="en-GB"/>
        </w:rPr>
      </w:pPr>
      <w:r w:rsidRPr="007D2DF0">
        <w:rPr>
          <w:lang w:val="en-GB"/>
        </w:rPr>
        <w:t xml:space="preserve">Host workshops to </w:t>
      </w:r>
      <w:r w:rsidR="00F572EE" w:rsidRPr="007D2DF0">
        <w:rPr>
          <w:lang w:val="en-GB"/>
        </w:rPr>
        <w:t xml:space="preserve">discuss different forms of gender apartheid, </w:t>
      </w:r>
      <w:r w:rsidR="00B2480C" w:rsidRPr="007D2DF0">
        <w:rPr>
          <w:lang w:val="en-GB"/>
        </w:rPr>
        <w:t>aiming to develop a shared narrative across different groups</w:t>
      </w:r>
      <w:r w:rsidR="00C77F89" w:rsidRPr="007D2DF0">
        <w:rPr>
          <w:lang w:val="en-GB"/>
        </w:rPr>
        <w:t xml:space="preserve"> </w:t>
      </w:r>
      <w:r w:rsidRPr="007D2DF0">
        <w:rPr>
          <w:lang w:val="en-GB"/>
        </w:rPr>
        <w:t xml:space="preserve"> </w:t>
      </w:r>
    </w:p>
    <w:p w14:paraId="1E729A58" w14:textId="44BC3741" w:rsidR="004356B2" w:rsidRPr="007D2DF0" w:rsidRDefault="004356B2" w:rsidP="002168AC">
      <w:pPr>
        <w:jc w:val="both"/>
        <w:rPr>
          <w:lang w:val="en-GB"/>
        </w:rPr>
      </w:pPr>
      <w:r w:rsidRPr="007D2DF0">
        <w:rPr>
          <w:lang w:val="en-GB"/>
        </w:rPr>
        <w:t>We will be engaging with experts, scholars and activists to provide credibility and will use social media, cultural centres and local events to foster participation and shared identity.</w:t>
      </w:r>
    </w:p>
    <w:p w14:paraId="4E04CB6D" w14:textId="5F9B2A1B" w:rsidR="001D01BA" w:rsidRPr="007D2DF0" w:rsidRDefault="00530C57" w:rsidP="00265B2E">
      <w:pPr>
        <w:jc w:val="both"/>
        <w:rPr>
          <w:lang w:val="en-GB"/>
        </w:rPr>
      </w:pPr>
      <w:r>
        <w:rPr>
          <w:b/>
        </w:rPr>
        <w:t xml:space="preserve">Short-term primary deliverable: </w:t>
      </w:r>
      <w:r>
        <w:t>The project will develop a socially rigorous and internationally validated description of gender apartheid, grounded in the lived experiences of Iranian and Afghan women in the diaspora. This shared narrative will be refined through research, expert consultation and community validation over the 24-month project. The crowdfunding budget supports the research-intensive core of this work.</w:t>
      </w:r>
    </w:p>
    <w:p w14:paraId="1FFBA08F" w14:textId="6F64C6DD" w:rsidR="00265B2E" w:rsidRPr="007D2DF0" w:rsidRDefault="001A43C3" w:rsidP="001A43C3">
      <w:pPr>
        <w:rPr>
          <w:lang w:val="en-GB"/>
        </w:rPr>
      </w:pPr>
      <w:r>
        <w:t>While efforts are currently underway to codify gender apartheid as a crime in the proposed treaty on crimes against humanity, this project will interview Iranian and Afghan women of different generations in the diaspora to learn from their experiences and socially validate a clear description of gender apartheid. This shared narrative will provide a foundation for future advocacy, policy engagement and international awareness.</w:t>
      </w:r>
    </w:p>
    <w:p w14:paraId="216CA4BF" w14:textId="61818B7E" w:rsidR="00D8018C" w:rsidRDefault="00AF4F77" w:rsidP="00265B2E">
      <w:pPr>
        <w:jc w:val="both"/>
        <w:rPr>
          <w:lang w:val="en-GB"/>
        </w:rPr>
      </w:pPr>
      <w:r>
        <w:t>The methodology and workplan for achieving this goal are detailed in the last part of the document. By the end of the 24-month project, we aim to produce a concise 2-3 page social narrative grounded in evidence from interviews and international data and validated by at least three activist groups and experts in the field.</w:t>
      </w:r>
    </w:p>
    <w:p w14:paraId="1B92A156" w14:textId="77777777" w:rsidR="00AD01A5" w:rsidRDefault="00AD01A5" w:rsidP="00E41264">
      <w:pPr>
        <w:tabs>
          <w:tab w:val="num" w:pos="284"/>
        </w:tabs>
        <w:jc w:val="both"/>
        <w:rPr>
          <w:lang w:val="en-GB"/>
        </w:rPr>
      </w:pPr>
      <w:r w:rsidRPr="000A43EB">
        <w:rPr>
          <w:lang w:val="en-GB"/>
        </w:rPr>
        <w:t xml:space="preserve">Once formally recognised, we hope this shared narrative can carry the name of </w:t>
      </w:r>
      <w:r w:rsidRPr="00AD01A5">
        <w:rPr>
          <w:b/>
          <w:bCs/>
          <w:lang w:val="en-GB"/>
        </w:rPr>
        <w:t>Sarina Esmailzadeh</w:t>
      </w:r>
      <w:r w:rsidRPr="000A43EB">
        <w:rPr>
          <w:lang w:val="en-GB"/>
        </w:rPr>
        <w:t>, in honour of her courage and her story, so that her legacy may live on alongside the efforts of countless others whose lives have come to symbolise the ongoing struggle for gender equality.</w:t>
      </w:r>
      <w:r>
        <w:rPr>
          <w:lang w:val="en-GB"/>
        </w:rPr>
        <w:t xml:space="preserve"> </w:t>
      </w:r>
    </w:p>
    <w:p w14:paraId="5E67BE6A" w14:textId="609A53ED" w:rsidR="00E41264" w:rsidRPr="007D2DF0" w:rsidRDefault="00F2004E" w:rsidP="00E41264">
      <w:pPr>
        <w:tabs>
          <w:tab w:val="num" w:pos="284"/>
        </w:tabs>
        <w:jc w:val="both"/>
        <w:rPr>
          <w:b/>
          <w:bCs/>
          <w:lang w:val="en-GB"/>
        </w:rPr>
      </w:pPr>
      <w:r w:rsidRPr="007D2DF0">
        <w:rPr>
          <w:b/>
          <w:bCs/>
          <w:lang w:val="en-GB"/>
        </w:rPr>
        <w:t>Medium- and longer-term</w:t>
      </w:r>
      <w:r w:rsidR="005B40FB" w:rsidRPr="007D2DF0">
        <w:rPr>
          <w:b/>
          <w:bCs/>
          <w:lang w:val="en-GB"/>
        </w:rPr>
        <w:t xml:space="preserve"> strategy &amp; outcomes</w:t>
      </w:r>
    </w:p>
    <w:p w14:paraId="385DECB7" w14:textId="216C96BB" w:rsidR="008F74B0" w:rsidRPr="007D2DF0" w:rsidRDefault="008F74B0" w:rsidP="008F74B0">
      <w:pPr>
        <w:jc w:val="both"/>
        <w:rPr>
          <w:lang w:val="en-GB"/>
        </w:rPr>
      </w:pPr>
      <w:r w:rsidRPr="007D2DF0">
        <w:rPr>
          <w:b/>
          <w:bCs/>
          <w:lang w:val="en-GB"/>
        </w:rPr>
        <w:t>Strategic Alliances and International Advocacy:</w:t>
      </w:r>
      <w:r w:rsidRPr="007D2DF0">
        <w:rPr>
          <w:lang w:val="en-GB"/>
        </w:rPr>
        <w:t xml:space="preserve"> building on </w:t>
      </w:r>
      <w:r w:rsidR="00424E29" w:rsidRPr="007D2DF0">
        <w:rPr>
          <w:lang w:val="en-GB"/>
        </w:rPr>
        <w:t>our primary deliverable,</w:t>
      </w:r>
      <w:r w:rsidRPr="007D2DF0">
        <w:rPr>
          <w:lang w:val="en-GB"/>
        </w:rPr>
        <w:t xml:space="preserve"> we will partner with international human rights organi</w:t>
      </w:r>
      <w:r w:rsidR="00D367B0">
        <w:rPr>
          <w:lang w:val="en-GB"/>
        </w:rPr>
        <w:t>s</w:t>
      </w:r>
      <w:r w:rsidRPr="007D2DF0">
        <w:rPr>
          <w:lang w:val="en-GB"/>
        </w:rPr>
        <w:t>ations and legal experts to build pressure on bodies like the UN. We will organise joint statements, campaigns, and outreach to politicians in liberal democracies, emphasi</w:t>
      </w:r>
      <w:r w:rsidR="00F2004E">
        <w:rPr>
          <w:lang w:val="en-GB"/>
        </w:rPr>
        <w:t>s</w:t>
      </w:r>
      <w:r w:rsidRPr="007D2DF0">
        <w:rPr>
          <w:lang w:val="en-GB"/>
        </w:rPr>
        <w:t>ing the link between human rights and democracy protection.</w:t>
      </w:r>
    </w:p>
    <w:p w14:paraId="11414F72" w14:textId="38C51816" w:rsidR="00131DCC" w:rsidRPr="007D2DF0" w:rsidRDefault="00131DCC" w:rsidP="00131DCC">
      <w:pPr>
        <w:jc w:val="both"/>
        <w:rPr>
          <w:lang w:val="en-GB"/>
        </w:rPr>
      </w:pPr>
      <w:r w:rsidRPr="007D2DF0">
        <w:rPr>
          <w:lang w:val="en-GB"/>
        </w:rPr>
        <w:t xml:space="preserve">Beyond the primary deliverable described above, the project will result in an </w:t>
      </w:r>
      <w:r w:rsidRPr="002168AC">
        <w:rPr>
          <w:b/>
          <w:bCs/>
          <w:lang w:val="en-GB"/>
        </w:rPr>
        <w:t>increased cohesion</w:t>
      </w:r>
      <w:r w:rsidRPr="007D2DF0">
        <w:rPr>
          <w:lang w:val="en-GB"/>
        </w:rPr>
        <w:t xml:space="preserve"> and </w:t>
      </w:r>
      <w:r w:rsidRPr="002168AC">
        <w:rPr>
          <w:b/>
          <w:bCs/>
          <w:lang w:val="en-GB"/>
        </w:rPr>
        <w:t>trust</w:t>
      </w:r>
      <w:r w:rsidRPr="007D2DF0">
        <w:rPr>
          <w:lang w:val="en-GB"/>
        </w:rPr>
        <w:t xml:space="preserve"> within the Iranian and Afghan diaspora communities in France, and generate a clear, </w:t>
      </w:r>
      <w:r w:rsidRPr="002168AC">
        <w:rPr>
          <w:b/>
          <w:bCs/>
          <w:lang w:val="en-GB"/>
        </w:rPr>
        <w:t>replicable model for diaspora-led collective action</w:t>
      </w:r>
      <w:r w:rsidRPr="007D2DF0">
        <w:rPr>
          <w:lang w:val="en-GB"/>
        </w:rPr>
        <w:t xml:space="preserve">, and strengthened liberal democratic discourse through citizen-led engagement. </w:t>
      </w:r>
      <w:r w:rsidRPr="007D2DF0">
        <w:rPr>
          <w:b/>
          <w:bCs/>
          <w:lang w:val="en-GB"/>
        </w:rPr>
        <w:t>Maintaining momentum and coordination</w:t>
      </w:r>
      <w:r w:rsidRPr="007D2DF0">
        <w:rPr>
          <w:lang w:val="en-GB"/>
        </w:rPr>
        <w:t xml:space="preserve"> will be achieved by developing durable structures, including in-person networks and digital platforms.</w:t>
      </w:r>
    </w:p>
    <w:p w14:paraId="24767275" w14:textId="7B769DE5" w:rsidR="007B1921" w:rsidRPr="007D2DF0" w:rsidRDefault="00907A23" w:rsidP="00907A23">
      <w:pPr>
        <w:rPr>
          <w:lang w:val="en-GB"/>
        </w:rPr>
      </w:pPr>
      <w:r>
        <w:rPr>
          <w:b/>
        </w:rPr>
        <w:t>Workplan &amp; Timeline (24 Months)</w:t>
      </w:r>
    </w:p>
    <w:p w14:paraId="3059B0C6" w14:textId="77777777" w:rsidR="00FE3090" w:rsidRPr="007D2DF0" w:rsidRDefault="00FE3090" w:rsidP="004A404B">
      <w:pPr>
        <w:jc w:val="both"/>
        <w:rPr>
          <w:lang w:val="en-GB"/>
        </w:rPr>
      </w:pPr>
      <w:r w:rsidRPr="007D2DF0">
        <w:rPr>
          <w:lang w:val="en-GB"/>
        </w:rPr>
        <w:t>All research will comply with GDPR and the Declaration of Helsinki. Interviews with women from Iran and Afghanistan will be conducted safely outside their home countries through a professional firm to ensure methodological rigour and ethical safeguards.</w:t>
      </w:r>
    </w:p>
    <w:p w14:paraId="2A900B25" w14:textId="57C2A675" w:rsidR="00A10155" w:rsidRPr="007D2DF0" w:rsidRDefault="00A10155" w:rsidP="00A10155">
      <w:pPr>
        <w:jc w:val="both"/>
        <w:rPr>
          <w:lang w:val="en-GB"/>
        </w:rPr>
      </w:pPr>
      <w:r w:rsidRPr="007D2DF0">
        <w:rPr>
          <w:lang w:val="en-GB"/>
        </w:rPr>
        <w:t>We estimate that 24 months are needed for the project: attempting to compress the different steps would compromise credibility, research quality, and diaspora engagement.</w:t>
      </w:r>
    </w:p>
    <w:p w14:paraId="3148A938" w14:textId="4983422A" w:rsidR="00A10155" w:rsidRPr="007D2DF0" w:rsidRDefault="00A10155" w:rsidP="004A404B">
      <w:pPr>
        <w:jc w:val="both"/>
        <w:rPr>
          <w:b/>
          <w:bCs/>
          <w:lang w:val="en-GB"/>
        </w:rPr>
      </w:pPr>
      <w:r>
        <w:rPr>
          <w:b/>
        </w:rPr>
        <w:t xml:space="preserve">Setup &amp; trust-building (6 months): </w:t>
      </w:r>
      <w:r>
        <w:t>Map diaspora communities; hire and train the core research team; establish partnerships; refine the interview guide; and finalise ethical, safeguarding and GDPR-compliant research protocols.</w:t>
      </w:r>
    </w:p>
    <w:p w14:paraId="523C1D73" w14:textId="25BB79A7" w:rsidR="00907A23" w:rsidRPr="007D2DF0" w:rsidRDefault="00A10155" w:rsidP="006C44C1">
      <w:pPr>
        <w:jc w:val="both"/>
        <w:rPr>
          <w:lang w:val="en-GB"/>
        </w:rPr>
      </w:pPr>
      <w:r>
        <w:rPr>
          <w:b/>
        </w:rPr>
        <w:t xml:space="preserve">Research &amp; drafting (12 months): </w:t>
      </w:r>
      <w:r>
        <w:t>Conduct protected interviews with Iranian and Afghan women of different generations in the diaspora through a professional research firm; analyse findings alongside international data and expert consultation; and prepare an initial shared narrative and manuscript.</w:t>
      </w:r>
    </w:p>
    <w:p w14:paraId="6742B3BE" w14:textId="2B52451B" w:rsidR="00907A23" w:rsidRPr="007D2DF0" w:rsidRDefault="00374D82" w:rsidP="00374D82">
      <w:pPr>
        <w:jc w:val="both"/>
        <w:rPr>
          <w:lang w:val="en-GB"/>
        </w:rPr>
      </w:pPr>
      <w:r>
        <w:rPr>
          <w:b/>
        </w:rPr>
        <w:t xml:space="preserve">Validation &amp; reporting (6 months): </w:t>
      </w:r>
      <w:r>
        <w:t>Hold community and expert validation sessions; incorporate feedback; finalise the shared narrative; and prepare a manuscript accompanied by a dissemination plan for NGOs, policymakers, and international organisations.</w:t>
      </w:r>
    </w:p>
    <w:p w14:paraId="6EFB2717" w14:textId="617F9746" w:rsidR="00FE3090" w:rsidRPr="007D2DF0" w:rsidRDefault="00FE3090" w:rsidP="00FE3090">
      <w:pPr>
        <w:rPr>
          <w:lang w:val="en-GB"/>
        </w:rPr>
      </w:pPr>
      <w:r>
        <w:rPr>
          <w:b/>
        </w:rPr>
        <w:t>Key Deliverables by Month 24</w:t>
      </w:r>
    </w:p>
    <w:p w14:paraId="34178189" w14:textId="546B9B20" w:rsidR="00FE3090" w:rsidRPr="007D2DF0" w:rsidRDefault="00FE3090" w:rsidP="00374D82">
      <w:pPr>
        <w:numPr>
          <w:ilvl w:val="0"/>
          <w:numId w:val="5"/>
        </w:numPr>
        <w:tabs>
          <w:tab w:val="clear" w:pos="720"/>
          <w:tab w:val="num" w:pos="284"/>
        </w:tabs>
        <w:spacing w:after="60"/>
        <w:ind w:left="284" w:hanging="284"/>
        <w:rPr>
          <w:lang w:val="en-GB"/>
        </w:rPr>
      </w:pPr>
      <w:r w:rsidRPr="007D2DF0">
        <w:rPr>
          <w:lang w:val="en-GB"/>
        </w:rPr>
        <w:t>Fully validated social narrative describing gender apartheid</w:t>
      </w:r>
      <w:r w:rsidR="00511BD0">
        <w:rPr>
          <w:lang w:val="en-GB"/>
        </w:rPr>
      </w:r>
      <w:r w:rsidRPr="007D2DF0">
        <w:rPr>
          <w:lang w:val="en-GB"/>
        </w:rPr>
      </w:r>
    </w:p>
    <w:p w14:paraId="04D13911" w14:textId="62FA6703" w:rsidR="00FE3090" w:rsidRPr="007D2DF0" w:rsidRDefault="00FE3090" w:rsidP="00374D82">
      <w:pPr>
        <w:numPr>
          <w:ilvl w:val="0"/>
          <w:numId w:val="5"/>
        </w:numPr>
        <w:tabs>
          <w:tab w:val="clear" w:pos="720"/>
          <w:tab w:val="num" w:pos="284"/>
        </w:tabs>
        <w:spacing w:after="60"/>
        <w:ind w:left="284" w:hanging="284"/>
        <w:rPr>
          <w:lang w:val="en-GB"/>
        </w:rPr>
      </w:pPr>
      <w:r w:rsidRPr="007D2DF0">
        <w:rPr>
          <w:lang w:val="en-GB"/>
        </w:rPr>
        <w:t xml:space="preserve">Comprehensive report with testimonies, data analysis, and </w:t>
      </w:r>
      <w:r w:rsidR="00511BD0">
        <w:rPr>
          <w:lang w:val="en-GB"/>
        </w:rPr>
        <w:t>manuscript ready for publication</w:t>
      </w:r>
    </w:p>
    <w:p w14:paraId="698701E9" w14:textId="4298182B" w:rsidR="00FE3090" w:rsidRPr="007D2DF0" w:rsidRDefault="00D67B3F" w:rsidP="00374D82">
      <w:pPr>
        <w:numPr>
          <w:ilvl w:val="0"/>
          <w:numId w:val="5"/>
        </w:numPr>
        <w:tabs>
          <w:tab w:val="clear" w:pos="720"/>
          <w:tab w:val="num" w:pos="284"/>
        </w:tabs>
        <w:spacing w:after="60"/>
        <w:ind w:left="284" w:hanging="284"/>
        <w:rPr>
          <w:lang w:val="en-GB"/>
        </w:rPr>
      </w:pPr>
      <w:r>
        <w:rPr>
          <w:lang w:val="en-GB"/>
        </w:rPr>
        <w:t xml:space="preserve">Inputs to the </w:t>
      </w:r>
      <w:r w:rsidR="00FE3090" w:rsidRPr="007D2DF0">
        <w:rPr>
          <w:lang w:val="en-GB"/>
        </w:rPr>
        <w:t>model for diaspora engagement</w:t>
      </w:r>
    </w:p>
    <w:p w14:paraId="7B614572" w14:textId="4F973A09" w:rsidR="00FE3090" w:rsidRPr="007D2DF0" w:rsidRDefault="00FE3090" w:rsidP="00374D82">
      <w:pPr>
        <w:numPr>
          <w:ilvl w:val="0"/>
          <w:numId w:val="5"/>
        </w:numPr>
        <w:tabs>
          <w:tab w:val="clear" w:pos="720"/>
          <w:tab w:val="num" w:pos="284"/>
        </w:tabs>
        <w:ind w:left="284" w:hanging="284"/>
        <w:rPr>
          <w:lang w:val="en-GB"/>
        </w:rPr>
      </w:pPr>
      <w:r w:rsidRPr="007D2DF0">
        <w:rPr>
          <w:lang w:val="en-GB"/>
        </w:rPr>
        <w:t>Foundation for Phase 2: national/international advocacy</w:t>
      </w:r>
    </w:p>
    <w:p w14:paraId="5E748E30" w14:textId="159DF086" w:rsidR="00374D82" w:rsidRPr="007D2DF0" w:rsidRDefault="00374D82" w:rsidP="00374D82">
      <w:pPr>
        <w:spacing w:after="240"/>
        <w:jc w:val="both"/>
        <w:rPr>
          <w:b/>
          <w:bCs/>
          <w:lang w:val="en-GB"/>
        </w:rPr>
      </w:pPr>
      <w:r w:rsidRPr="007D2DF0">
        <w:rPr>
          <w:b/>
          <w:bCs/>
          <w:lang w:val="en-GB"/>
        </w:rPr>
        <w:t>Estimated budget</w:t>
      </w:r>
    </w:p>
    <w:tbl>
      <w:tblPr>
        <w:tblW w:w="949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113" w:type="dxa"/>
          <w:bottom w:w="85" w:type="dxa"/>
          <w:right w:w="113" w:type="dxa"/>
        </w:tblCellMar>
        <w:tblLook w:val="04A0" w:firstRow="1" w:lastRow="0" w:firstColumn="1" w:lastColumn="0" w:noHBand="0" w:noVBand="1"/>
      </w:tblPr>
      <w:tblGrid>
        <w:gridCol w:w="3114"/>
        <w:gridCol w:w="1281"/>
        <w:gridCol w:w="5103"/>
      </w:tblGrid>
      <w:tr w:rsidR="00973D49" w:rsidRPr="002168AC" w14:paraId="1AB6DB4D" w14:textId="77777777" w:rsidTr="00973D49">
        <w:trPr>
          <w:tblHeader/>
        </w:trPr>
        <w:tc>
          <w:tcPr>
            <w:tcW w:w="3114" w:type="dxa"/>
            <w:vAlign w:val="center"/>
            <w:hideMark/>
          </w:tcPr>
          <w:p w14:paraId="47EC745E" w14:textId="77777777" w:rsidR="00FE3090" w:rsidRPr="007D2DF0" w:rsidRDefault="00FE3090" w:rsidP="00EC53D0">
            <w:pPr>
              <w:spacing w:after="0"/>
              <w:rPr>
                <w:b/>
                <w:bCs/>
                <w:lang w:val="en-GB"/>
              </w:rPr>
            </w:pPr>
            <w:r w:rsidRPr="007D2DF0">
              <w:rPr>
                <w:b/>
                <w:bCs/>
                <w:lang w:val="en-GB"/>
              </w:rPr>
              <w:t>Item</w:t>
            </w:r>
          </w:p>
        </w:tc>
        <w:tc>
          <w:tcPr>
            <w:tcW w:w="1281" w:type="dxa"/>
            <w:vAlign w:val="center"/>
            <w:hideMark/>
          </w:tcPr>
          <w:p w14:paraId="55391423" w14:textId="77777777" w:rsidR="00FE3090" w:rsidRPr="007D2DF0" w:rsidRDefault="00FE3090" w:rsidP="00EC53D0">
            <w:pPr>
              <w:spacing w:after="0"/>
              <w:jc w:val="center"/>
              <w:rPr>
                <w:b/>
                <w:bCs/>
                <w:lang w:val="en-GB"/>
              </w:rPr>
            </w:pPr>
            <w:r w:rsidRPr="007D2DF0">
              <w:rPr>
                <w:b/>
                <w:bCs/>
                <w:lang w:val="en-GB"/>
              </w:rPr>
              <w:t>Cost (€)</w:t>
            </w:r>
          </w:p>
        </w:tc>
        <w:tc>
          <w:tcPr>
            <w:tcW w:w="5103" w:type="dxa"/>
            <w:vAlign w:val="center"/>
            <w:hideMark/>
          </w:tcPr>
          <w:p w14:paraId="09C66254" w14:textId="77777777" w:rsidR="00FE3090" w:rsidRPr="007D2DF0" w:rsidRDefault="00FE3090" w:rsidP="00EC53D0">
            <w:pPr>
              <w:spacing w:after="0"/>
              <w:rPr>
                <w:b/>
                <w:bCs/>
                <w:lang w:val="en-GB"/>
              </w:rPr>
            </w:pPr>
            <w:r w:rsidRPr="007D2DF0">
              <w:rPr>
                <w:b/>
                <w:bCs/>
                <w:lang w:val="en-GB"/>
              </w:rPr>
              <w:t>Notes</w:t>
            </w:r>
          </w:p>
        </w:tc>
      </w:tr>
      <w:tr w:rsidR="00973D49" w:rsidRPr="00910525" w14:paraId="5340EC35" w14:textId="77777777" w:rsidTr="00973D49">
        <w:tc>
          <w:tcPr>
            <w:tcW w:w="3114" w:type="dxa"/>
            <w:vAlign w:val="center"/>
            <w:hideMark/>
          </w:tcPr>
          <w:p w14:paraId="7407E7F2" w14:textId="77777777" w:rsidR="00FE3090" w:rsidRPr="007D2DF0" w:rsidRDefault="00FE3090" w:rsidP="00EC53D0">
            <w:pPr>
              <w:spacing w:after="0"/>
              <w:rPr>
                <w:lang w:val="en-GB"/>
              </w:rPr>
            </w:pPr>
            <w:r w:rsidRPr="007D2DF0">
              <w:rPr>
                <w:lang w:val="en-GB"/>
              </w:rPr>
              <w:t>Professional Research Firm</w:t>
            </w:r>
          </w:p>
        </w:tc>
        <w:tc>
          <w:tcPr>
            <w:tcW w:w="1281" w:type="dxa"/>
            <w:vAlign w:val="center"/>
            <w:hideMark/>
          </w:tcPr>
          <w:p w14:paraId="6E5A19FC" w14:textId="77777777" w:rsidR="00FE3090" w:rsidRPr="007D2DF0" w:rsidRDefault="00FE3090" w:rsidP="00EC53D0">
            <w:pPr>
              <w:spacing w:after="0"/>
              <w:jc w:val="center"/>
              <w:rPr>
                <w:lang w:val="en-GB"/>
              </w:rPr>
            </w:pPr>
            <w:r w:rsidRPr="007D2DF0">
              <w:rPr>
                <w:lang w:val="en-GB"/>
              </w:rPr>
              <w:t>12,000</w:t>
            </w:r>
          </w:p>
        </w:tc>
        <w:tc>
          <w:tcPr>
            <w:tcW w:w="5103" w:type="dxa"/>
            <w:vAlign w:val="center"/>
            <w:hideMark/>
          </w:tcPr>
          <w:p w14:paraId="11A3C81E" w14:textId="77777777" w:rsidR="00FE3090" w:rsidRPr="007D2DF0" w:rsidRDefault="00FE3090" w:rsidP="00EC53D0">
            <w:pPr>
              <w:spacing w:after="0"/>
              <w:rPr>
                <w:lang w:val="en-GB"/>
              </w:rPr>
            </w:pPr>
            <w:r w:rsidRPr="007D2DF0">
              <w:rPr>
                <w:lang w:val="en-GB"/>
              </w:rPr>
              <w:t>Design of interview guide and framework, methodology guidance</w:t>
            </w:r>
          </w:p>
        </w:tc>
      </w:tr>
      <w:tr w:rsidR="00973D49" w:rsidRPr="00910525" w14:paraId="55AE50C3" w14:textId="77777777" w:rsidTr="00973D49">
        <w:tc>
          <w:tcPr>
            <w:tcW w:w="3114" w:type="dxa"/>
            <w:vAlign w:val="center"/>
            <w:hideMark/>
          </w:tcPr>
          <w:p w14:paraId="7CB287C4" w14:textId="77777777" w:rsidR="00FE3090" w:rsidRPr="007D2DF0" w:rsidRDefault="00FE3090" w:rsidP="00EC53D0">
            <w:pPr>
              <w:spacing w:after="0"/>
              <w:rPr>
                <w:lang w:val="en-GB"/>
              </w:rPr>
            </w:pPr>
            <w:r w:rsidRPr="007D2DF0">
              <w:rPr>
                <w:lang w:val="en-GB"/>
              </w:rPr>
              <w:t>Full-time Lead Salary</w:t>
            </w:r>
          </w:p>
        </w:tc>
        <w:tc>
          <w:tcPr>
            <w:tcW w:w="1281" w:type="dxa"/>
            <w:vAlign w:val="center"/>
            <w:hideMark/>
          </w:tcPr>
          <w:p w14:paraId="680F5439" w14:textId="01265042" w:rsidR="00FE3090" w:rsidRPr="007D2DF0" w:rsidRDefault="00F61F89" w:rsidP="00EC53D0">
            <w:pPr>
              <w:spacing w:after="0"/>
              <w:jc w:val="center"/>
              <w:rPr>
                <w:lang w:val="en-GB"/>
              </w:rPr>
            </w:pPr>
            <w:r>
              <w:rPr>
                <w:lang w:val="en-GB"/>
              </w:rPr>
              <w:t>59</w:t>
            </w:r>
            <w:r w:rsidR="00FE3090" w:rsidRPr="007D2DF0">
              <w:rPr>
                <w:lang w:val="en-GB"/>
              </w:rPr>
              <w:t>,000</w:t>
            </w:r>
          </w:p>
        </w:tc>
        <w:tc>
          <w:tcPr>
            <w:tcW w:w="5103" w:type="dxa"/>
            <w:vAlign w:val="center"/>
            <w:hideMark/>
          </w:tcPr>
          <w:p w14:paraId="2F1F0FCF" w14:textId="77777777" w:rsidR="00FE3090" w:rsidRPr="007D2DF0" w:rsidRDefault="00FE3090" w:rsidP="00EC53D0">
            <w:pPr>
              <w:spacing w:after="0"/>
              <w:rPr>
                <w:lang w:val="en-GB"/>
              </w:rPr>
            </w:pPr>
            <w:r w:rsidRPr="007D2DF0">
              <w:rPr>
                <w:lang w:val="en-GB"/>
              </w:rPr>
              <w:t>Gross salary covering interviews, data collection, research, and project coordination</w:t>
            </w:r>
          </w:p>
        </w:tc>
      </w:tr>
      <w:tr w:rsidR="00973D49" w:rsidRPr="002168AC" w14:paraId="7C390196" w14:textId="77777777" w:rsidTr="00973D49">
        <w:tc>
          <w:tcPr>
            <w:tcW w:w="3114" w:type="dxa"/>
            <w:vAlign w:val="center"/>
            <w:hideMark/>
          </w:tcPr>
          <w:p w14:paraId="1B5D3D81" w14:textId="77777777" w:rsidR="00FE3090" w:rsidRPr="007D2DF0" w:rsidRDefault="00FE3090" w:rsidP="00EC53D0">
            <w:pPr>
              <w:spacing w:after="0"/>
              <w:rPr>
                <w:lang w:val="en-GB"/>
              </w:rPr>
            </w:pPr>
            <w:r w:rsidRPr="007D2DF0">
              <w:rPr>
                <w:lang w:val="en-GB"/>
              </w:rPr>
              <w:t>Employer Social Contributions</w:t>
            </w:r>
          </w:p>
        </w:tc>
        <w:tc>
          <w:tcPr>
            <w:tcW w:w="1281" w:type="dxa"/>
            <w:vAlign w:val="center"/>
            <w:hideMark/>
          </w:tcPr>
          <w:p w14:paraId="630D5095" w14:textId="3DFAF3E4" w:rsidR="00FE3090" w:rsidRPr="007D2DF0" w:rsidRDefault="00553994" w:rsidP="00EC53D0">
            <w:pPr>
              <w:spacing w:after="0"/>
              <w:jc w:val="center"/>
              <w:rPr>
                <w:lang w:val="en-GB"/>
              </w:rPr>
            </w:pPr>
            <w:r w:rsidRPr="007D2DF0">
              <w:rPr>
                <w:lang w:val="en-GB"/>
              </w:rPr>
              <w:t>27,000</w:t>
            </w:r>
          </w:p>
        </w:tc>
        <w:tc>
          <w:tcPr>
            <w:tcW w:w="5103" w:type="dxa"/>
            <w:vAlign w:val="center"/>
            <w:hideMark/>
          </w:tcPr>
          <w:p w14:paraId="10D9525A" w14:textId="1808DA7D" w:rsidR="00FE3090" w:rsidRPr="007D2DF0" w:rsidRDefault="00FE3090" w:rsidP="00EC53D0">
            <w:pPr>
              <w:spacing w:after="0"/>
              <w:rPr>
                <w:lang w:val="en-GB"/>
              </w:rPr>
            </w:pPr>
            <w:r w:rsidRPr="007D2DF0">
              <w:rPr>
                <w:lang w:val="en-GB"/>
              </w:rPr>
              <w:t>45% of gross salary</w:t>
            </w:r>
          </w:p>
        </w:tc>
      </w:tr>
      <w:tr w:rsidR="00973D49" w:rsidRPr="002168AC" w14:paraId="7179F40A" w14:textId="77777777" w:rsidTr="00973D49">
        <w:tc>
          <w:tcPr>
            <w:tcW w:w="3114" w:type="dxa"/>
            <w:vAlign w:val="center"/>
            <w:hideMark/>
          </w:tcPr>
          <w:p w14:paraId="31FECEDB" w14:textId="48B9EA04" w:rsidR="00FE3090" w:rsidRPr="007D2DF0" w:rsidRDefault="003D421B" w:rsidP="00EC53D0">
            <w:pPr>
              <w:spacing w:after="0"/>
              <w:rPr>
                <w:lang w:val="en-GB"/>
              </w:rPr>
            </w:pPr>
            <w:r>
              <w:rPr>
                <w:lang w:val="en-GB"/>
              </w:rPr>
              <w:t>T</w:t>
            </w:r>
            <w:r w:rsidR="00B6300A">
              <w:rPr>
                <w:lang w:val="en-GB"/>
              </w:rPr>
              <w:t>hree</w:t>
            </w:r>
            <w:r>
              <w:rPr>
                <w:lang w:val="en-GB"/>
              </w:rPr>
              <w:t xml:space="preserve"> </w:t>
            </w:r>
            <w:r w:rsidR="00FE3090" w:rsidRPr="007D2DF0">
              <w:rPr>
                <w:lang w:val="en-GB"/>
              </w:rPr>
              <w:t>Part-time Researcher</w:t>
            </w:r>
            <w:r>
              <w:rPr>
                <w:lang w:val="en-GB"/>
              </w:rPr>
              <w:t>s</w:t>
            </w:r>
          </w:p>
        </w:tc>
        <w:tc>
          <w:tcPr>
            <w:tcW w:w="1281" w:type="dxa"/>
            <w:vAlign w:val="center"/>
            <w:hideMark/>
          </w:tcPr>
          <w:p w14:paraId="175268AD" w14:textId="77777777" w:rsidR="00FE3090" w:rsidRPr="007D2DF0" w:rsidRDefault="00FE3090" w:rsidP="00EC53D0">
            <w:pPr>
              <w:spacing w:after="0"/>
              <w:jc w:val="center"/>
              <w:rPr>
                <w:lang w:val="en-GB"/>
              </w:rPr>
            </w:pPr>
            <w:r w:rsidRPr="007D2DF0">
              <w:rPr>
                <w:lang w:val="en-GB"/>
              </w:rPr>
              <w:t>0</w:t>
            </w:r>
          </w:p>
        </w:tc>
        <w:tc>
          <w:tcPr>
            <w:tcW w:w="5103" w:type="dxa"/>
            <w:vAlign w:val="center"/>
            <w:hideMark/>
          </w:tcPr>
          <w:p w14:paraId="4F866267" w14:textId="77777777" w:rsidR="00FE3090" w:rsidRPr="007D2DF0" w:rsidRDefault="00FE3090" w:rsidP="00EC53D0">
            <w:pPr>
              <w:spacing w:after="0"/>
              <w:rPr>
                <w:lang w:val="en-GB"/>
              </w:rPr>
            </w:pPr>
            <w:r w:rsidRPr="007D2DF0">
              <w:rPr>
                <w:lang w:val="en-GB"/>
              </w:rPr>
              <w:t>Volunteer contribution</w:t>
            </w:r>
          </w:p>
        </w:tc>
      </w:tr>
      <w:tr w:rsidR="00973D49" w:rsidRPr="00910525" w14:paraId="31D28BE4" w14:textId="77777777" w:rsidTr="00973D49">
        <w:tc>
          <w:tcPr>
            <w:tcW w:w="3114" w:type="dxa"/>
            <w:vAlign w:val="center"/>
            <w:hideMark/>
          </w:tcPr>
          <w:p w14:paraId="6E940FAD" w14:textId="77777777" w:rsidR="00FE3090" w:rsidRPr="007D2DF0" w:rsidRDefault="00FE3090" w:rsidP="00EC53D0">
            <w:pPr>
              <w:spacing w:after="0"/>
              <w:rPr>
                <w:lang w:val="en-GB"/>
              </w:rPr>
            </w:pPr>
            <w:r w:rsidRPr="007D2DF0">
              <w:rPr>
                <w:lang w:val="en-GB"/>
              </w:rPr>
              <w:t>Crowdfunding Platform Fees</w:t>
            </w:r>
          </w:p>
        </w:tc>
        <w:tc>
          <w:tcPr>
            <w:tcW w:w="1281" w:type="dxa"/>
            <w:vAlign w:val="center"/>
            <w:hideMark/>
          </w:tcPr>
          <w:p w14:paraId="412A5D5A" w14:textId="0D3C6D29" w:rsidR="00FE3090" w:rsidRPr="007D2DF0" w:rsidRDefault="00022100" w:rsidP="00EC53D0">
            <w:pPr>
              <w:spacing w:after="0"/>
              <w:jc w:val="center"/>
              <w:rPr>
                <w:lang w:val="en-GB"/>
              </w:rPr>
            </w:pPr>
            <w:r>
              <w:rPr>
                <w:lang w:val="en-GB"/>
              </w:rPr>
              <w:t>8</w:t>
            </w:r>
            <w:r w:rsidR="00FE3090" w:rsidRPr="007D2DF0">
              <w:rPr>
                <w:lang w:val="en-GB"/>
              </w:rPr>
              <w:t>,000</w:t>
            </w:r>
          </w:p>
        </w:tc>
        <w:tc>
          <w:tcPr>
            <w:tcW w:w="5103" w:type="dxa"/>
            <w:vAlign w:val="center"/>
            <w:hideMark/>
          </w:tcPr>
          <w:p w14:paraId="114C2921" w14:textId="08957AFC" w:rsidR="00FE3090" w:rsidRPr="007D2DF0" w:rsidRDefault="00FE3090" w:rsidP="00EC53D0">
            <w:pPr>
              <w:spacing w:after="0"/>
              <w:rPr>
                <w:lang w:val="en-GB"/>
              </w:rPr>
            </w:pPr>
            <w:r w:rsidRPr="007D2DF0">
              <w:rPr>
                <w:lang w:val="en-GB"/>
              </w:rPr>
              <w:t>~</w:t>
            </w:r>
            <w:r w:rsidR="00973D49" w:rsidRPr="007D2DF0">
              <w:rPr>
                <w:lang w:val="en-GB"/>
              </w:rPr>
              <w:t xml:space="preserve"> </w:t>
            </w:r>
            <w:r w:rsidRPr="007D2DF0">
              <w:rPr>
                <w:lang w:val="en-GB"/>
              </w:rPr>
              <w:t>5% of total raised on GoFundMe</w:t>
            </w:r>
          </w:p>
        </w:tc>
      </w:tr>
      <w:tr w:rsidR="00973D49" w:rsidRPr="002168AC" w14:paraId="333D36DD" w14:textId="77777777" w:rsidTr="00973D49">
        <w:tc>
          <w:tcPr>
            <w:tcW w:w="3114" w:type="dxa"/>
            <w:vAlign w:val="center"/>
            <w:hideMark/>
          </w:tcPr>
          <w:p w14:paraId="754D6671" w14:textId="77777777" w:rsidR="00FE3090" w:rsidRPr="007D2DF0" w:rsidRDefault="00FE3090" w:rsidP="00EC53D0">
            <w:pPr>
              <w:spacing w:after="0"/>
              <w:rPr>
                <w:lang w:val="en-GB"/>
              </w:rPr>
            </w:pPr>
            <w:r w:rsidRPr="007D2DF0">
              <w:rPr>
                <w:lang w:val="en-GB"/>
              </w:rPr>
              <w:t>Operational Costs</w:t>
            </w:r>
          </w:p>
        </w:tc>
        <w:tc>
          <w:tcPr>
            <w:tcW w:w="1281" w:type="dxa"/>
            <w:vAlign w:val="center"/>
            <w:hideMark/>
          </w:tcPr>
          <w:p w14:paraId="355FFB3B" w14:textId="77777777" w:rsidR="00FE3090" w:rsidRPr="007D2DF0" w:rsidRDefault="00FE3090" w:rsidP="00EC53D0">
            <w:pPr>
              <w:spacing w:after="0"/>
              <w:jc w:val="center"/>
              <w:rPr>
                <w:lang w:val="en-GB"/>
              </w:rPr>
            </w:pPr>
            <w:r w:rsidRPr="007D2DF0">
              <w:rPr>
                <w:lang w:val="en-GB"/>
              </w:rPr>
              <w:t>3,000</w:t>
            </w:r>
          </w:p>
        </w:tc>
        <w:tc>
          <w:tcPr>
            <w:tcW w:w="5103" w:type="dxa"/>
            <w:vAlign w:val="center"/>
            <w:hideMark/>
          </w:tcPr>
          <w:p w14:paraId="3E35DBC7" w14:textId="77777777" w:rsidR="00FE3090" w:rsidRPr="007D2DF0" w:rsidRDefault="00FE3090" w:rsidP="00EC53D0">
            <w:pPr>
              <w:spacing w:after="0"/>
              <w:rPr>
                <w:lang w:val="en-GB"/>
              </w:rPr>
            </w:pPr>
            <w:r w:rsidRPr="007D2DF0">
              <w:rPr>
                <w:lang w:val="en-GB"/>
              </w:rPr>
              <w:t>Venue rentals, printing, online platform, events, translations</w:t>
            </w:r>
          </w:p>
        </w:tc>
      </w:tr>
      <w:tr w:rsidR="00973D49" w:rsidRPr="002168AC" w14:paraId="78CFD432" w14:textId="77777777" w:rsidTr="00973D49">
        <w:tc>
          <w:tcPr>
            <w:tcW w:w="3114" w:type="dxa"/>
            <w:vAlign w:val="center"/>
            <w:hideMark/>
          </w:tcPr>
          <w:p w14:paraId="4E6E8065" w14:textId="1CE0ADE9" w:rsidR="00FE3090" w:rsidRPr="007D2DF0" w:rsidRDefault="00FE3090" w:rsidP="00EC53D0">
            <w:pPr>
              <w:spacing w:after="0"/>
              <w:rPr>
                <w:lang w:val="en-GB"/>
              </w:rPr>
            </w:pPr>
            <w:r w:rsidRPr="007D2DF0">
              <w:rPr>
                <w:b/>
                <w:bCs/>
                <w:lang w:val="en-GB"/>
              </w:rPr>
              <w:t>Total</w:t>
            </w:r>
            <w:r w:rsidRPr="007D2DF0">
              <w:rPr>
                <w:b/>
                <w:bCs/>
                <w:lang w:val="en-GB"/>
              </w:rPr>
              <w:br/>
            </w:r>
          </w:p>
        </w:tc>
        <w:tc>
          <w:tcPr>
            <w:tcW w:w="1281" w:type="dxa"/>
            <w:vAlign w:val="center"/>
            <w:hideMark/>
          </w:tcPr>
          <w:p w14:paraId="004080CE" w14:textId="60833DE0" w:rsidR="00FE3090" w:rsidRPr="007D2DF0" w:rsidRDefault="00FE3090" w:rsidP="00EC53D0">
            <w:pPr>
              <w:spacing w:after="0"/>
              <w:jc w:val="center"/>
              <w:rPr>
                <w:lang w:val="en-GB"/>
              </w:rPr>
            </w:pPr>
            <w:r w:rsidRPr="007D2DF0">
              <w:rPr>
                <w:b/>
                <w:bCs/>
                <w:lang w:val="en-GB"/>
              </w:rPr>
              <w:t>10</w:t>
            </w:r>
            <w:r w:rsidR="00F22E22">
              <w:rPr>
                <w:b/>
                <w:bCs/>
                <w:lang w:val="en-GB"/>
              </w:rPr>
              <w:t>9</w:t>
            </w:r>
            <w:r w:rsidRPr="007D2DF0">
              <w:rPr>
                <w:b/>
                <w:bCs/>
                <w:lang w:val="en-GB"/>
              </w:rPr>
              <w:t>,000</w:t>
            </w:r>
          </w:p>
          <w:p w14:paraId="459A17B5" w14:textId="77777777" w:rsidR="00FE3090" w:rsidRPr="007D2DF0" w:rsidRDefault="00FE3090" w:rsidP="00EC53D0">
            <w:pPr>
              <w:spacing w:after="0"/>
              <w:jc w:val="center"/>
              <w:rPr>
                <w:b/>
                <w:bCs/>
                <w:lang w:val="en-GB"/>
              </w:rPr>
            </w:pPr>
          </w:p>
        </w:tc>
        <w:tc>
          <w:tcPr>
            <w:tcW w:w="5103" w:type="dxa"/>
            <w:vAlign w:val="center"/>
            <w:hideMark/>
          </w:tcPr>
          <w:p w14:paraId="438C4F6D" w14:textId="77777777" w:rsidR="00FE3090" w:rsidRPr="007D2DF0" w:rsidRDefault="00FE3090" w:rsidP="00EC53D0">
            <w:pPr>
              <w:spacing w:after="0"/>
              <w:rPr>
                <w:lang w:val="en-GB"/>
              </w:rPr>
            </w:pPr>
            <w:r w:rsidRPr="007D2DF0">
              <w:rPr>
                <w:lang w:val="en-GB"/>
              </w:rPr>
              <w:t>Adjusted total project cost</w:t>
            </w:r>
          </w:p>
        </w:tc>
      </w:tr>
    </w:tbl>
    <w:p w14:paraId="5A5DE242" w14:textId="09F61182" w:rsidR="005823C5" w:rsidRPr="002168AC" w:rsidRDefault="005823C5">
      <w:pPr>
        <w:rPr>
          <w:lang w:val="en-GB"/>
        </w:rPr>
      </w:pPr>
    </w:p>
    <w:p w14:paraId="4FEE5B54" w14:textId="77777777" w:rsidR="00DB3B3D" w:rsidRPr="007D2DF0" w:rsidRDefault="00DB3B3D" w:rsidP="00DB3B3D">
      <w:pPr>
        <w:rPr>
          <w:b/>
          <w:bCs/>
          <w:lang w:val="en-GB"/>
        </w:rPr>
      </w:pPr>
      <w:r w:rsidRPr="007D2DF0">
        <w:rPr>
          <w:b/>
          <w:bCs/>
          <w:lang w:val="en-GB"/>
        </w:rPr>
        <w:t>Acknowledgements</w:t>
      </w:r>
    </w:p>
    <w:p w14:paraId="5560CD50" w14:textId="5E40F06B" w:rsidR="00911FFD" w:rsidRDefault="00DB3B3D" w:rsidP="001F4073">
      <w:pPr>
        <w:jc w:val="both"/>
        <w:rPr>
          <w:lang w:val="en-GB"/>
        </w:rPr>
      </w:pPr>
      <w:r w:rsidRPr="007D2DF0">
        <w:rPr>
          <w:lang w:val="en-GB"/>
        </w:rPr>
        <w:t>We would like to extend our sincere gratitude to </w:t>
      </w:r>
      <w:r w:rsidRPr="007D2DF0">
        <w:rPr>
          <w:b/>
          <w:bCs/>
          <w:lang w:val="en-GB"/>
        </w:rPr>
        <w:t>Kavian Association</w:t>
      </w:r>
      <w:r w:rsidRPr="007D2DF0">
        <w:rPr>
          <w:lang w:val="en-GB"/>
        </w:rPr>
        <w:t> for their invaluable guidance and support throughout the design and review of this project. Their expertise, thoughtful feedback, and encouragement have been instrumental in shaping a clear, actionable, and impactful approach to addressing gender apartheid within diaspora communities.</w:t>
      </w:r>
    </w:p>
    <w:p w14:paraId="1529B57E" w14:textId="77777777" w:rsidR="00CB7151" w:rsidRDefault="00CB7151" w:rsidP="001F4073">
      <w:pPr>
        <w:jc w:val="both"/>
        <w:rPr>
          <w:lang w:val="en-GB"/>
        </w:rPr>
      </w:pPr>
    </w:p>
    <w:p w14:paraId="4CA74A4D" w14:textId="77777777" w:rsidR="00E931B5" w:rsidRDefault="00E931B5" w:rsidP="001F4073">
      <w:pPr>
        <w:jc w:val="both"/>
        <w:rPr>
          <w:lang w:val="en-GB"/>
        </w:rPr>
      </w:pPr>
    </w:p>
    <w:p w14:paraId="6B1133F4" w14:textId="77777777" w:rsidR="001F2D7E" w:rsidRDefault="001F2D7E">
      <w:pPr>
        <w:rPr>
          <w:b/>
          <w:bCs/>
          <w:lang w:val="en-GB"/>
        </w:rPr>
      </w:pPr>
      <w:r>
        <w:rPr>
          <w:b/>
          <w:bCs/>
          <w:lang w:val="en-GB"/>
        </w:rPr>
        <w:br w:type="page"/>
      </w:r>
    </w:p>
    <w:p w14:paraId="6B461053" w14:textId="6E73C9CA" w:rsidR="00E931B5" w:rsidRPr="00E931B5" w:rsidRDefault="00E931B5" w:rsidP="001F4073">
      <w:pPr>
        <w:jc w:val="both"/>
        <w:rPr>
          <w:b/>
          <w:bCs/>
          <w:lang w:val="en-GB"/>
        </w:rPr>
      </w:pPr>
      <w:r w:rsidRPr="00E931B5">
        <w:rPr>
          <w:b/>
          <w:bCs/>
          <w:lang w:val="en-GB"/>
        </w:rPr>
        <w:lastRenderedPageBreak/>
        <w:t>References</w:t>
      </w:r>
    </w:p>
    <w:p w14:paraId="43E82452" w14:textId="77777777" w:rsidR="00E931B5" w:rsidRPr="00512F4F" w:rsidRDefault="00E931B5" w:rsidP="00E931B5">
      <w:pPr>
        <w:ind w:left="284" w:hanging="284"/>
        <w:rPr>
          <w:sz w:val="20"/>
          <w:szCs w:val="20"/>
          <w:lang w:val="en-GB"/>
        </w:rPr>
      </w:pPr>
      <w:r w:rsidRPr="00E931B5">
        <w:rPr>
          <w:sz w:val="20"/>
          <w:szCs w:val="20"/>
          <w:lang w:val="en-GB"/>
        </w:rPr>
        <w:t xml:space="preserve">[1] </w:t>
      </w:r>
      <w:r w:rsidRPr="00512F4F">
        <w:rPr>
          <w:sz w:val="20"/>
          <w:szCs w:val="20"/>
          <w:lang w:val="en-GB"/>
        </w:rPr>
        <w:t>Sen, A. (2000). Development as freedom. Development in Practice-Oxford-, 10(2), 258-258.</w:t>
      </w:r>
    </w:p>
    <w:p w14:paraId="3BC64471" w14:textId="77777777" w:rsidR="00E931B5" w:rsidRPr="00512F4F" w:rsidRDefault="00E931B5" w:rsidP="00E931B5">
      <w:pPr>
        <w:ind w:left="284" w:hanging="284"/>
        <w:rPr>
          <w:sz w:val="20"/>
          <w:szCs w:val="20"/>
          <w:lang w:val="en-GB"/>
        </w:rPr>
      </w:pPr>
      <w:r w:rsidRPr="00E931B5">
        <w:rPr>
          <w:sz w:val="20"/>
          <w:szCs w:val="20"/>
          <w:lang w:val="en-GB"/>
        </w:rPr>
        <w:t xml:space="preserve">[2] </w:t>
      </w:r>
      <w:r w:rsidRPr="00512F4F">
        <w:rPr>
          <w:sz w:val="20"/>
          <w:szCs w:val="20"/>
          <w:lang w:val="en-GB"/>
        </w:rPr>
        <w:t>Ostrom, E. (1990). Governing the commons: The evolution of institutions for collective action. Cambridge university press.</w:t>
      </w:r>
    </w:p>
    <w:p w14:paraId="403C770C" w14:textId="77777777" w:rsidR="00E931B5" w:rsidRPr="00512F4F" w:rsidRDefault="00E931B5" w:rsidP="00E931B5">
      <w:pPr>
        <w:ind w:left="284" w:hanging="284"/>
        <w:rPr>
          <w:sz w:val="20"/>
          <w:szCs w:val="20"/>
          <w:lang w:val="en-GB"/>
        </w:rPr>
      </w:pPr>
      <w:r w:rsidRPr="00E931B5">
        <w:rPr>
          <w:sz w:val="20"/>
          <w:szCs w:val="20"/>
          <w:lang w:val="en-GB"/>
        </w:rPr>
        <w:t xml:space="preserve">[3] </w:t>
      </w:r>
      <w:r w:rsidRPr="00512F4F">
        <w:rPr>
          <w:sz w:val="20"/>
          <w:szCs w:val="20"/>
          <w:lang w:val="en-GB"/>
        </w:rPr>
        <w:t>Mueller, D. C. (2003). Public choice III. Cambridge University Press.</w:t>
      </w:r>
    </w:p>
    <w:p w14:paraId="6AAFD296" w14:textId="77777777" w:rsidR="00E931B5" w:rsidRPr="00512F4F" w:rsidRDefault="00E931B5" w:rsidP="00E931B5">
      <w:pPr>
        <w:ind w:left="284" w:hanging="284"/>
        <w:rPr>
          <w:sz w:val="20"/>
          <w:szCs w:val="20"/>
          <w:lang w:val="en-GB"/>
        </w:rPr>
      </w:pPr>
      <w:r w:rsidRPr="00E931B5">
        <w:rPr>
          <w:sz w:val="20"/>
          <w:szCs w:val="20"/>
          <w:lang w:val="en-GB"/>
        </w:rPr>
        <w:t xml:space="preserve">[4] </w:t>
      </w:r>
      <w:r w:rsidRPr="00512F4F">
        <w:rPr>
          <w:sz w:val="20"/>
          <w:szCs w:val="20"/>
          <w:lang w:val="en-GB"/>
        </w:rPr>
        <w:t>Suzumura, K. (1996). Welfare, rights, and social choice procedure: a perspective. Analyse &amp; Kritik, 18(1), 20-37.</w:t>
      </w:r>
    </w:p>
    <w:p w14:paraId="762EAC6A" w14:textId="77777777" w:rsidR="00E931B5" w:rsidRPr="00512F4F" w:rsidRDefault="00E931B5" w:rsidP="00E931B5">
      <w:pPr>
        <w:ind w:left="284" w:hanging="284"/>
        <w:rPr>
          <w:sz w:val="20"/>
          <w:szCs w:val="20"/>
          <w:lang w:val="en-GB"/>
        </w:rPr>
      </w:pPr>
      <w:r w:rsidRPr="00E931B5">
        <w:rPr>
          <w:sz w:val="20"/>
          <w:szCs w:val="20"/>
          <w:lang w:val="en-GB"/>
        </w:rPr>
        <w:t xml:space="preserve">[5] </w:t>
      </w:r>
      <w:r w:rsidRPr="00512F4F">
        <w:rPr>
          <w:sz w:val="20"/>
          <w:szCs w:val="20"/>
          <w:lang w:val="en-GB"/>
        </w:rPr>
        <w:t>Dutta, B. (2002). Inequality, poverty and welfare. Handbook of social choice and welfare, 1, 597-633.</w:t>
      </w:r>
    </w:p>
    <w:p w14:paraId="77995C3C" w14:textId="77777777" w:rsidR="00E931B5" w:rsidRPr="00512F4F" w:rsidRDefault="00E931B5" w:rsidP="00E931B5">
      <w:pPr>
        <w:rPr>
          <w:sz w:val="20"/>
          <w:szCs w:val="20"/>
          <w:lang w:val="en-GB"/>
        </w:rPr>
      </w:pPr>
      <w:r w:rsidRPr="00E931B5">
        <w:rPr>
          <w:sz w:val="20"/>
          <w:szCs w:val="20"/>
          <w:lang w:val="en-GB"/>
        </w:rPr>
        <w:t xml:space="preserve">[6] </w:t>
      </w:r>
      <w:hyperlink r:id="rId7" w:tgtFrame="_blank" w:history="1">
        <w:r w:rsidRPr="00512F4F">
          <w:rPr>
            <w:rStyle w:val="Hyperlink"/>
            <w:sz w:val="20"/>
            <w:szCs w:val="20"/>
            <w:lang w:val="en-GB"/>
          </w:rPr>
          <w:t>https://news.un.org/en/story/2024/06/1150881</w:t>
        </w:r>
      </w:hyperlink>
    </w:p>
    <w:p w14:paraId="51746235" w14:textId="77777777" w:rsidR="00E931B5" w:rsidRPr="00512F4F" w:rsidRDefault="00E931B5" w:rsidP="00E931B5">
      <w:pPr>
        <w:rPr>
          <w:sz w:val="20"/>
          <w:szCs w:val="20"/>
          <w:lang w:val="en-GB"/>
        </w:rPr>
      </w:pPr>
      <w:r w:rsidRPr="00E931B5">
        <w:rPr>
          <w:sz w:val="20"/>
          <w:szCs w:val="20"/>
          <w:lang w:val="en-GB"/>
        </w:rPr>
        <w:t xml:space="preserve">[7] </w:t>
      </w:r>
      <w:hyperlink r:id="rId8" w:anchor=":~:text=The%20End%20Gender%20Apartheid%20Campaign,under%20international%20and%20domestic%20law" w:history="1">
        <w:r w:rsidRPr="00512F4F">
          <w:rPr>
            <w:rStyle w:val="Hyperlink"/>
            <w:sz w:val="20"/>
            <w:szCs w:val="20"/>
            <w:lang w:val="en-GB"/>
          </w:rPr>
          <w:t>https://endgenderapartheid.today/#:~:text=The%20End%20Gender%20Apartheid%20Campaign,under%20international%20and%20domestic%20law</w:t>
        </w:r>
      </w:hyperlink>
    </w:p>
    <w:p w14:paraId="78E86132" w14:textId="77777777" w:rsidR="00E931B5" w:rsidRPr="00512F4F" w:rsidRDefault="00E931B5" w:rsidP="00E931B5">
      <w:pPr>
        <w:rPr>
          <w:sz w:val="20"/>
          <w:szCs w:val="20"/>
          <w:lang w:val="en-GB"/>
        </w:rPr>
      </w:pPr>
      <w:r w:rsidRPr="00E931B5">
        <w:rPr>
          <w:sz w:val="20"/>
          <w:szCs w:val="20"/>
          <w:lang w:val="en-GB"/>
        </w:rPr>
        <w:t xml:space="preserve">[8] </w:t>
      </w:r>
      <w:hyperlink r:id="rId9" w:tgtFrame="_blank" w:history="1">
        <w:r w:rsidRPr="00E931B5">
          <w:rPr>
            <w:rStyle w:val="Hyperlink"/>
            <w:sz w:val="20"/>
            <w:szCs w:val="20"/>
            <w:lang w:val="en-GB"/>
          </w:rPr>
          <w:t>https://www.ibanet.org/document?id=Gender-Apartheid-Inquiry-Report-March-2024</w:t>
        </w:r>
      </w:hyperlink>
    </w:p>
    <w:p w14:paraId="05E5A21F" w14:textId="77777777" w:rsidR="00E931B5" w:rsidRPr="00512F4F" w:rsidRDefault="00E931B5" w:rsidP="00E931B5">
      <w:pPr>
        <w:rPr>
          <w:sz w:val="20"/>
          <w:szCs w:val="20"/>
          <w:lang w:val="en-GB"/>
        </w:rPr>
      </w:pPr>
      <w:r w:rsidRPr="00E931B5">
        <w:rPr>
          <w:sz w:val="20"/>
          <w:szCs w:val="20"/>
          <w:lang w:val="en-GB"/>
        </w:rPr>
        <w:t xml:space="preserve">[9] </w:t>
      </w:r>
      <w:hyperlink r:id="rId10" w:tgtFrame="_blank" w:history="1">
        <w:r w:rsidRPr="00512F4F">
          <w:rPr>
            <w:rStyle w:val="Hyperlink"/>
            <w:sz w:val="20"/>
            <w:szCs w:val="20"/>
            <w:lang w:val="en-GB"/>
          </w:rPr>
          <w:t>https://www.amnesty.org/en/latest/news/2024/06/gender-apartheid-must-be-recognized-international-law/</w:t>
        </w:r>
      </w:hyperlink>
    </w:p>
    <w:p w14:paraId="5589228D" w14:textId="77777777" w:rsidR="00E931B5" w:rsidRPr="00512F4F" w:rsidRDefault="00E931B5" w:rsidP="00E931B5">
      <w:pPr>
        <w:rPr>
          <w:sz w:val="20"/>
          <w:szCs w:val="20"/>
          <w:lang w:val="en-GB"/>
        </w:rPr>
      </w:pPr>
      <w:r w:rsidRPr="00E931B5">
        <w:rPr>
          <w:sz w:val="20"/>
          <w:szCs w:val="20"/>
          <w:lang w:val="en-GB"/>
        </w:rPr>
        <w:t xml:space="preserve">[10] </w:t>
      </w:r>
      <w:hyperlink r:id="rId11" w:tgtFrame="_blank" w:history="1">
        <w:r w:rsidRPr="00512F4F">
          <w:rPr>
            <w:rStyle w:val="Hyperlink"/>
            <w:sz w:val="20"/>
            <w:szCs w:val="20"/>
            <w:lang w:val="en-GB"/>
          </w:rPr>
          <w:t>https://www.hrw.org/news/2025/09/02/gender-apartheid-as-an-international-crime</w:t>
        </w:r>
      </w:hyperlink>
    </w:p>
    <w:p w14:paraId="08FF6A45" w14:textId="77777777" w:rsidR="00E931B5" w:rsidRPr="00512F4F" w:rsidRDefault="00E931B5" w:rsidP="00E931B5">
      <w:pPr>
        <w:rPr>
          <w:sz w:val="20"/>
          <w:szCs w:val="20"/>
          <w:lang w:val="en-GB"/>
        </w:rPr>
      </w:pPr>
      <w:r w:rsidRPr="00E931B5">
        <w:rPr>
          <w:sz w:val="20"/>
          <w:szCs w:val="20"/>
          <w:lang w:val="en-GB"/>
        </w:rPr>
        <w:t xml:space="preserve">[11] </w:t>
      </w:r>
      <w:hyperlink r:id="rId12" w:tgtFrame="_blank" w:history="1">
        <w:r w:rsidRPr="00512F4F">
          <w:rPr>
            <w:rStyle w:val="Hyperlink"/>
            <w:sz w:val="20"/>
            <w:szCs w:val="20"/>
            <w:lang w:val="en-GB"/>
          </w:rPr>
          <w:t>https://giwps.georgetown.edu/2023/12/05/the-talibans-oppression-of-women-is-gender-apartheid/</w:t>
        </w:r>
      </w:hyperlink>
    </w:p>
    <w:p w14:paraId="499C93E3" w14:textId="77777777" w:rsidR="00E931B5" w:rsidRPr="00E931B5" w:rsidRDefault="00E931B5" w:rsidP="00E931B5">
      <w:pPr>
        <w:rPr>
          <w:sz w:val="20"/>
          <w:szCs w:val="20"/>
          <w:lang w:val="en-GB"/>
        </w:rPr>
      </w:pPr>
      <w:r w:rsidRPr="00E931B5">
        <w:rPr>
          <w:sz w:val="20"/>
          <w:szCs w:val="20"/>
          <w:lang w:val="en-GB"/>
        </w:rPr>
        <w:t xml:space="preserve">[12] </w:t>
      </w:r>
      <w:hyperlink r:id="rId13" w:history="1">
        <w:r w:rsidRPr="00E931B5">
          <w:rPr>
            <w:rStyle w:val="Hyperlink"/>
            <w:sz w:val="20"/>
            <w:szCs w:val="20"/>
            <w:lang w:val="en-GB"/>
          </w:rPr>
          <w:t>Canadian Women for Women Afghanistan (CW4WA) – Participedia</w:t>
        </w:r>
      </w:hyperlink>
    </w:p>
    <w:p w14:paraId="16E2357F" w14:textId="77777777" w:rsidR="00E931B5" w:rsidRPr="00E931B5" w:rsidRDefault="00E931B5" w:rsidP="00E931B5">
      <w:pPr>
        <w:rPr>
          <w:sz w:val="20"/>
          <w:szCs w:val="20"/>
          <w:lang w:val="en-GB"/>
        </w:rPr>
      </w:pPr>
      <w:r w:rsidRPr="00E931B5">
        <w:rPr>
          <w:sz w:val="20"/>
          <w:szCs w:val="20"/>
          <w:lang w:val="en-GB"/>
        </w:rPr>
        <w:t xml:space="preserve">[13] </w:t>
      </w:r>
      <w:hyperlink r:id="rId14" w:history="1">
        <w:r w:rsidRPr="00E931B5">
          <w:rPr>
            <w:rStyle w:val="Hyperlink"/>
            <w:sz w:val="20"/>
            <w:szCs w:val="20"/>
            <w:lang w:val="en-GB"/>
          </w:rPr>
          <w:t xml:space="preserve">_Front Page - </w:t>
        </w:r>
        <w:proofErr w:type="spellStart"/>
        <w:r w:rsidRPr="00E931B5">
          <w:rPr>
            <w:rStyle w:val="Hyperlink"/>
            <w:sz w:val="20"/>
            <w:szCs w:val="20"/>
            <w:lang w:val="en-GB"/>
          </w:rPr>
          <w:t>Center</w:t>
        </w:r>
        <w:proofErr w:type="spellEnd"/>
        <w:r w:rsidRPr="00E931B5">
          <w:rPr>
            <w:rStyle w:val="Hyperlink"/>
            <w:sz w:val="20"/>
            <w:szCs w:val="20"/>
            <w:lang w:val="en-GB"/>
          </w:rPr>
          <w:t xml:space="preserve"> for Human Rights in Iran</w:t>
        </w:r>
      </w:hyperlink>
    </w:p>
    <w:p w14:paraId="7F2B0E4B" w14:textId="77777777" w:rsidR="00E931B5" w:rsidRPr="00E931B5" w:rsidRDefault="00E931B5" w:rsidP="00E931B5">
      <w:pPr>
        <w:rPr>
          <w:sz w:val="20"/>
          <w:szCs w:val="20"/>
          <w:lang w:val="en-GB"/>
        </w:rPr>
      </w:pPr>
      <w:r w:rsidRPr="00E931B5">
        <w:rPr>
          <w:sz w:val="20"/>
          <w:szCs w:val="20"/>
          <w:lang w:val="en-GB"/>
        </w:rPr>
        <w:t xml:space="preserve">[14] </w:t>
      </w:r>
      <w:hyperlink r:id="rId15" w:history="1">
        <w:r w:rsidRPr="00E931B5">
          <w:rPr>
            <w:rStyle w:val="Hyperlink"/>
            <w:sz w:val="20"/>
            <w:szCs w:val="20"/>
          </w:rPr>
          <w:t>IDC (501C3)</w:t>
        </w:r>
      </w:hyperlink>
    </w:p>
    <w:p w14:paraId="3624FC19" w14:textId="77777777" w:rsidR="00E931B5" w:rsidRPr="007D2DF0" w:rsidRDefault="00E931B5" w:rsidP="001F4073">
      <w:pPr>
        <w:jc w:val="both"/>
        <w:rPr>
          <w:lang w:val="en-GB"/>
        </w:rPr>
      </w:pPr>
    </w:p>
    <w:sectPr w:rsidR="00E931B5" w:rsidRPr="007D2DF0" w:rsidSect="00653440">
      <w:footerReference w:type="default" r:id="rId16"/>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6249C" w14:textId="77777777" w:rsidR="001423EA" w:rsidRDefault="001423EA" w:rsidP="002C77CE">
      <w:pPr>
        <w:spacing w:after="0" w:line="240" w:lineRule="auto"/>
      </w:pPr>
      <w:r>
        <w:separator/>
      </w:r>
    </w:p>
  </w:endnote>
  <w:endnote w:type="continuationSeparator" w:id="0">
    <w:p w14:paraId="3650947F" w14:textId="77777777" w:rsidR="001423EA" w:rsidRDefault="001423EA" w:rsidP="002C7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1367E" w14:textId="77777777" w:rsidR="007C2996" w:rsidRPr="007C2996" w:rsidRDefault="007C2996" w:rsidP="007C2996">
    <w:pPr>
      <w:pStyle w:val="Footer"/>
      <w:jc w:val="center"/>
      <w:rPr>
        <w:sz w:val="14"/>
        <w:szCs w:val="14"/>
        <w:lang w:val="en-US"/>
      </w:rPr>
    </w:pPr>
    <w:r w:rsidRPr="007C2996">
      <w:rPr>
        <w:sz w:val="14"/>
        <w:szCs w:val="14"/>
        <w:lang w:val="en-US"/>
      </w:rPr>
      <w:t>CONFIDENTIAL</w:t>
    </w:r>
  </w:p>
  <w:p w14:paraId="07BE8840" w14:textId="57E0FEF1" w:rsidR="002C77CE" w:rsidRPr="007C2996" w:rsidRDefault="007C2996" w:rsidP="007C2996">
    <w:pPr>
      <w:pStyle w:val="Footer"/>
      <w:jc w:val="center"/>
      <w:rPr>
        <w:sz w:val="14"/>
        <w:szCs w:val="14"/>
        <w:lang w:val="en-US"/>
      </w:rPr>
    </w:pPr>
    <w:r w:rsidRPr="007C2996">
      <w:rPr>
        <w:sz w:val="14"/>
        <w:szCs w:val="14"/>
        <w:lang w:val="en-US"/>
      </w:rPr>
      <w:t>TOTAL OR PARTIAL REPRODUCTION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7E3E5" w14:textId="77777777" w:rsidR="001423EA" w:rsidRDefault="001423EA" w:rsidP="002C77CE">
      <w:pPr>
        <w:spacing w:after="0" w:line="240" w:lineRule="auto"/>
      </w:pPr>
      <w:r>
        <w:separator/>
      </w:r>
    </w:p>
  </w:footnote>
  <w:footnote w:type="continuationSeparator" w:id="0">
    <w:p w14:paraId="1E0307F7" w14:textId="77777777" w:rsidR="001423EA" w:rsidRDefault="001423EA" w:rsidP="002C7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02B8D"/>
    <w:multiLevelType w:val="multilevel"/>
    <w:tmpl w:val="E9A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990B16"/>
    <w:multiLevelType w:val="multilevel"/>
    <w:tmpl w:val="1F4E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EF3F0F"/>
    <w:multiLevelType w:val="multilevel"/>
    <w:tmpl w:val="C1D4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CAF3D0D"/>
    <w:multiLevelType w:val="multilevel"/>
    <w:tmpl w:val="B49C7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AA5306"/>
    <w:multiLevelType w:val="multilevel"/>
    <w:tmpl w:val="8318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676564"/>
    <w:multiLevelType w:val="multilevel"/>
    <w:tmpl w:val="00A2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72830E1"/>
    <w:multiLevelType w:val="multilevel"/>
    <w:tmpl w:val="E64EE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6A058F"/>
    <w:multiLevelType w:val="multilevel"/>
    <w:tmpl w:val="1F4E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2818950">
    <w:abstractNumId w:val="4"/>
  </w:num>
  <w:num w:numId="2" w16cid:durableId="1182086295">
    <w:abstractNumId w:val="5"/>
  </w:num>
  <w:num w:numId="3" w16cid:durableId="593172230">
    <w:abstractNumId w:val="3"/>
  </w:num>
  <w:num w:numId="4" w16cid:durableId="1009018729">
    <w:abstractNumId w:val="6"/>
  </w:num>
  <w:num w:numId="5" w16cid:durableId="1182280370">
    <w:abstractNumId w:val="2"/>
  </w:num>
  <w:num w:numId="6" w16cid:durableId="1604415743">
    <w:abstractNumId w:val="0"/>
  </w:num>
  <w:num w:numId="7" w16cid:durableId="1145396930">
    <w:abstractNumId w:val="1"/>
  </w:num>
  <w:num w:numId="8" w16cid:durableId="9742619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090"/>
    <w:rsid w:val="00000C44"/>
    <w:rsid w:val="00021D80"/>
    <w:rsid w:val="00022100"/>
    <w:rsid w:val="00047E5A"/>
    <w:rsid w:val="00083178"/>
    <w:rsid w:val="000A3C9F"/>
    <w:rsid w:val="00117666"/>
    <w:rsid w:val="0012686B"/>
    <w:rsid w:val="00131DCC"/>
    <w:rsid w:val="00137840"/>
    <w:rsid w:val="001423EA"/>
    <w:rsid w:val="00187118"/>
    <w:rsid w:val="001A00C5"/>
    <w:rsid w:val="001A43C3"/>
    <w:rsid w:val="001C2655"/>
    <w:rsid w:val="001D01BA"/>
    <w:rsid w:val="001D2467"/>
    <w:rsid w:val="001F2D7E"/>
    <w:rsid w:val="001F3FAF"/>
    <w:rsid w:val="001F4073"/>
    <w:rsid w:val="00204179"/>
    <w:rsid w:val="002123BA"/>
    <w:rsid w:val="002168AC"/>
    <w:rsid w:val="00236A39"/>
    <w:rsid w:val="00265B2E"/>
    <w:rsid w:val="00294DE0"/>
    <w:rsid w:val="002A4F71"/>
    <w:rsid w:val="002B6149"/>
    <w:rsid w:val="002C77CE"/>
    <w:rsid w:val="002C7D36"/>
    <w:rsid w:val="002E0471"/>
    <w:rsid w:val="003248D3"/>
    <w:rsid w:val="00330B05"/>
    <w:rsid w:val="00333A72"/>
    <w:rsid w:val="00337294"/>
    <w:rsid w:val="003543B4"/>
    <w:rsid w:val="00374D82"/>
    <w:rsid w:val="0038156A"/>
    <w:rsid w:val="003855FE"/>
    <w:rsid w:val="003A08AE"/>
    <w:rsid w:val="003B05BC"/>
    <w:rsid w:val="003B0847"/>
    <w:rsid w:val="003B4802"/>
    <w:rsid w:val="003B656A"/>
    <w:rsid w:val="003B78B4"/>
    <w:rsid w:val="003D10AA"/>
    <w:rsid w:val="003D421B"/>
    <w:rsid w:val="003E3F28"/>
    <w:rsid w:val="00411FFA"/>
    <w:rsid w:val="00424E29"/>
    <w:rsid w:val="004356B2"/>
    <w:rsid w:val="00445B11"/>
    <w:rsid w:val="00457DFD"/>
    <w:rsid w:val="004674AB"/>
    <w:rsid w:val="004A404B"/>
    <w:rsid w:val="004B63D1"/>
    <w:rsid w:val="004D4609"/>
    <w:rsid w:val="00511BD0"/>
    <w:rsid w:val="00513524"/>
    <w:rsid w:val="00523A37"/>
    <w:rsid w:val="00530C57"/>
    <w:rsid w:val="0054050A"/>
    <w:rsid w:val="00544065"/>
    <w:rsid w:val="00546C54"/>
    <w:rsid w:val="00553994"/>
    <w:rsid w:val="0056203D"/>
    <w:rsid w:val="005823C5"/>
    <w:rsid w:val="005A1AD7"/>
    <w:rsid w:val="005A4C6C"/>
    <w:rsid w:val="005B40FB"/>
    <w:rsid w:val="005F5F13"/>
    <w:rsid w:val="00600C46"/>
    <w:rsid w:val="00601511"/>
    <w:rsid w:val="00623554"/>
    <w:rsid w:val="0062651B"/>
    <w:rsid w:val="006379AF"/>
    <w:rsid w:val="00645B31"/>
    <w:rsid w:val="00653440"/>
    <w:rsid w:val="0068183A"/>
    <w:rsid w:val="00697A2F"/>
    <w:rsid w:val="006C1FF6"/>
    <w:rsid w:val="006C2843"/>
    <w:rsid w:val="006C44C1"/>
    <w:rsid w:val="006E3C04"/>
    <w:rsid w:val="006E523C"/>
    <w:rsid w:val="00720AC3"/>
    <w:rsid w:val="00723313"/>
    <w:rsid w:val="00727C14"/>
    <w:rsid w:val="007319FE"/>
    <w:rsid w:val="007A5AB0"/>
    <w:rsid w:val="007B1921"/>
    <w:rsid w:val="007C2996"/>
    <w:rsid w:val="007D2DF0"/>
    <w:rsid w:val="008134A0"/>
    <w:rsid w:val="00835D85"/>
    <w:rsid w:val="00840FD5"/>
    <w:rsid w:val="00872AB9"/>
    <w:rsid w:val="00875F76"/>
    <w:rsid w:val="00884656"/>
    <w:rsid w:val="00890D70"/>
    <w:rsid w:val="00892D09"/>
    <w:rsid w:val="008A22F3"/>
    <w:rsid w:val="008A2DEB"/>
    <w:rsid w:val="008A4B15"/>
    <w:rsid w:val="008C35DC"/>
    <w:rsid w:val="008C5734"/>
    <w:rsid w:val="008E7BA6"/>
    <w:rsid w:val="008F226C"/>
    <w:rsid w:val="008F43A0"/>
    <w:rsid w:val="008F74B0"/>
    <w:rsid w:val="00907A23"/>
    <w:rsid w:val="00910525"/>
    <w:rsid w:val="00911FFD"/>
    <w:rsid w:val="00932BD4"/>
    <w:rsid w:val="00936135"/>
    <w:rsid w:val="00973D49"/>
    <w:rsid w:val="00984392"/>
    <w:rsid w:val="0098629C"/>
    <w:rsid w:val="00987221"/>
    <w:rsid w:val="009A2C66"/>
    <w:rsid w:val="009C105D"/>
    <w:rsid w:val="009C1E3D"/>
    <w:rsid w:val="009C4BC9"/>
    <w:rsid w:val="009C7D4E"/>
    <w:rsid w:val="00A030A2"/>
    <w:rsid w:val="00A04D98"/>
    <w:rsid w:val="00A10155"/>
    <w:rsid w:val="00A41CED"/>
    <w:rsid w:val="00A445F7"/>
    <w:rsid w:val="00A900EC"/>
    <w:rsid w:val="00A9631C"/>
    <w:rsid w:val="00AD01A5"/>
    <w:rsid w:val="00AD1ED0"/>
    <w:rsid w:val="00AF0CC5"/>
    <w:rsid w:val="00AF274D"/>
    <w:rsid w:val="00AF4F77"/>
    <w:rsid w:val="00B2480C"/>
    <w:rsid w:val="00B27F4D"/>
    <w:rsid w:val="00B36A64"/>
    <w:rsid w:val="00B515B3"/>
    <w:rsid w:val="00B6300A"/>
    <w:rsid w:val="00B94343"/>
    <w:rsid w:val="00BA0960"/>
    <w:rsid w:val="00BA6CF4"/>
    <w:rsid w:val="00BB2D19"/>
    <w:rsid w:val="00BB33BB"/>
    <w:rsid w:val="00BD128B"/>
    <w:rsid w:val="00BF6C45"/>
    <w:rsid w:val="00C36C87"/>
    <w:rsid w:val="00C375AA"/>
    <w:rsid w:val="00C52CBD"/>
    <w:rsid w:val="00C7328D"/>
    <w:rsid w:val="00C74F92"/>
    <w:rsid w:val="00C76DD5"/>
    <w:rsid w:val="00C77F89"/>
    <w:rsid w:val="00CB5038"/>
    <w:rsid w:val="00CB7151"/>
    <w:rsid w:val="00CC5022"/>
    <w:rsid w:val="00CE2416"/>
    <w:rsid w:val="00D14D43"/>
    <w:rsid w:val="00D21A95"/>
    <w:rsid w:val="00D244D4"/>
    <w:rsid w:val="00D30289"/>
    <w:rsid w:val="00D367B0"/>
    <w:rsid w:val="00D44676"/>
    <w:rsid w:val="00D61480"/>
    <w:rsid w:val="00D63AE0"/>
    <w:rsid w:val="00D67B3F"/>
    <w:rsid w:val="00D8018C"/>
    <w:rsid w:val="00D8746E"/>
    <w:rsid w:val="00D95B17"/>
    <w:rsid w:val="00DB2095"/>
    <w:rsid w:val="00DB3B3D"/>
    <w:rsid w:val="00E11944"/>
    <w:rsid w:val="00E22B78"/>
    <w:rsid w:val="00E41264"/>
    <w:rsid w:val="00E47F9D"/>
    <w:rsid w:val="00E5624E"/>
    <w:rsid w:val="00E63FCA"/>
    <w:rsid w:val="00E678E5"/>
    <w:rsid w:val="00E70FE3"/>
    <w:rsid w:val="00E75EBF"/>
    <w:rsid w:val="00E931B5"/>
    <w:rsid w:val="00EB1344"/>
    <w:rsid w:val="00EB6AFE"/>
    <w:rsid w:val="00EC0740"/>
    <w:rsid w:val="00EC53D0"/>
    <w:rsid w:val="00EE2AD1"/>
    <w:rsid w:val="00F2004E"/>
    <w:rsid w:val="00F22E22"/>
    <w:rsid w:val="00F43F57"/>
    <w:rsid w:val="00F524B8"/>
    <w:rsid w:val="00F572EE"/>
    <w:rsid w:val="00F61F89"/>
    <w:rsid w:val="00F667D3"/>
    <w:rsid w:val="00F96706"/>
    <w:rsid w:val="00FA479F"/>
    <w:rsid w:val="00FB6F0D"/>
    <w:rsid w:val="00FC356F"/>
    <w:rsid w:val="00FD0FED"/>
    <w:rsid w:val="00FD4857"/>
    <w:rsid w:val="00FE3090"/>
    <w:rsid w:val="00FE44F3"/>
    <w:rsid w:val="00FE460B"/>
    <w:rsid w:val="00FF1CB0"/>
    <w:rsid w:val="00FF2824"/>
    <w:rsid w:val="00FF464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D4A3"/>
  <w15:chartTrackingRefBased/>
  <w15:docId w15:val="{A0B839CA-9C3E-41D0-9CA3-9A5C98154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30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30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30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30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30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30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0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0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0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0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0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0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0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30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30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0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0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090"/>
    <w:rPr>
      <w:rFonts w:eastAsiaTheme="majorEastAsia" w:cstheme="majorBidi"/>
      <w:color w:val="272727" w:themeColor="text1" w:themeTint="D8"/>
    </w:rPr>
  </w:style>
  <w:style w:type="paragraph" w:styleId="Title">
    <w:name w:val="Title"/>
    <w:basedOn w:val="Normal"/>
    <w:next w:val="Normal"/>
    <w:link w:val="TitleChar"/>
    <w:uiPriority w:val="10"/>
    <w:qFormat/>
    <w:rsid w:val="00FE30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0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0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0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090"/>
    <w:pPr>
      <w:spacing w:before="160"/>
      <w:jc w:val="center"/>
    </w:pPr>
    <w:rPr>
      <w:i/>
      <w:iCs/>
      <w:color w:val="404040" w:themeColor="text1" w:themeTint="BF"/>
    </w:rPr>
  </w:style>
  <w:style w:type="character" w:customStyle="1" w:styleId="QuoteChar">
    <w:name w:val="Quote Char"/>
    <w:basedOn w:val="DefaultParagraphFont"/>
    <w:link w:val="Quote"/>
    <w:uiPriority w:val="29"/>
    <w:rsid w:val="00FE3090"/>
    <w:rPr>
      <w:i/>
      <w:iCs/>
      <w:color w:val="404040" w:themeColor="text1" w:themeTint="BF"/>
    </w:rPr>
  </w:style>
  <w:style w:type="paragraph" w:styleId="ListParagraph">
    <w:name w:val="List Paragraph"/>
    <w:basedOn w:val="Normal"/>
    <w:uiPriority w:val="34"/>
    <w:qFormat/>
    <w:rsid w:val="00FE3090"/>
    <w:pPr>
      <w:ind w:left="720"/>
      <w:contextualSpacing/>
    </w:pPr>
  </w:style>
  <w:style w:type="character" w:styleId="IntenseEmphasis">
    <w:name w:val="Intense Emphasis"/>
    <w:basedOn w:val="DefaultParagraphFont"/>
    <w:uiPriority w:val="21"/>
    <w:qFormat/>
    <w:rsid w:val="00FE3090"/>
    <w:rPr>
      <w:i/>
      <w:iCs/>
      <w:color w:val="0F4761" w:themeColor="accent1" w:themeShade="BF"/>
    </w:rPr>
  </w:style>
  <w:style w:type="paragraph" w:styleId="IntenseQuote">
    <w:name w:val="Intense Quote"/>
    <w:basedOn w:val="Normal"/>
    <w:next w:val="Normal"/>
    <w:link w:val="IntenseQuoteChar"/>
    <w:uiPriority w:val="30"/>
    <w:qFormat/>
    <w:rsid w:val="00FE30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3090"/>
    <w:rPr>
      <w:i/>
      <w:iCs/>
      <w:color w:val="0F4761" w:themeColor="accent1" w:themeShade="BF"/>
    </w:rPr>
  </w:style>
  <w:style w:type="character" w:styleId="IntenseReference">
    <w:name w:val="Intense Reference"/>
    <w:basedOn w:val="DefaultParagraphFont"/>
    <w:uiPriority w:val="32"/>
    <w:qFormat/>
    <w:rsid w:val="00FE3090"/>
    <w:rPr>
      <w:b/>
      <w:bCs/>
      <w:smallCaps/>
      <w:color w:val="0F4761" w:themeColor="accent1" w:themeShade="BF"/>
      <w:spacing w:val="5"/>
    </w:rPr>
  </w:style>
  <w:style w:type="character" w:styleId="CommentReference">
    <w:name w:val="annotation reference"/>
    <w:basedOn w:val="DefaultParagraphFont"/>
    <w:uiPriority w:val="99"/>
    <w:semiHidden/>
    <w:unhideWhenUsed/>
    <w:rsid w:val="003543B4"/>
    <w:rPr>
      <w:sz w:val="16"/>
      <w:szCs w:val="16"/>
    </w:rPr>
  </w:style>
  <w:style w:type="paragraph" w:styleId="CommentText">
    <w:name w:val="annotation text"/>
    <w:basedOn w:val="Normal"/>
    <w:link w:val="CommentTextChar"/>
    <w:uiPriority w:val="99"/>
    <w:unhideWhenUsed/>
    <w:rsid w:val="003543B4"/>
    <w:pPr>
      <w:spacing w:line="240" w:lineRule="auto"/>
    </w:pPr>
    <w:rPr>
      <w:sz w:val="20"/>
      <w:szCs w:val="20"/>
    </w:rPr>
  </w:style>
  <w:style w:type="character" w:customStyle="1" w:styleId="CommentTextChar">
    <w:name w:val="Comment Text Char"/>
    <w:basedOn w:val="DefaultParagraphFont"/>
    <w:link w:val="CommentText"/>
    <w:uiPriority w:val="99"/>
    <w:rsid w:val="003543B4"/>
    <w:rPr>
      <w:sz w:val="20"/>
      <w:szCs w:val="20"/>
    </w:rPr>
  </w:style>
  <w:style w:type="paragraph" w:styleId="CommentSubject">
    <w:name w:val="annotation subject"/>
    <w:basedOn w:val="CommentText"/>
    <w:next w:val="CommentText"/>
    <w:link w:val="CommentSubjectChar"/>
    <w:uiPriority w:val="99"/>
    <w:semiHidden/>
    <w:unhideWhenUsed/>
    <w:rsid w:val="003543B4"/>
    <w:rPr>
      <w:b/>
      <w:bCs/>
    </w:rPr>
  </w:style>
  <w:style w:type="character" w:customStyle="1" w:styleId="CommentSubjectChar">
    <w:name w:val="Comment Subject Char"/>
    <w:basedOn w:val="CommentTextChar"/>
    <w:link w:val="CommentSubject"/>
    <w:uiPriority w:val="99"/>
    <w:semiHidden/>
    <w:rsid w:val="003543B4"/>
    <w:rPr>
      <w:b/>
      <w:bCs/>
      <w:sz w:val="20"/>
      <w:szCs w:val="20"/>
    </w:rPr>
  </w:style>
  <w:style w:type="paragraph" w:styleId="Revision">
    <w:name w:val="Revision"/>
    <w:hidden/>
    <w:uiPriority w:val="99"/>
    <w:semiHidden/>
    <w:rsid w:val="00FE44F3"/>
    <w:pPr>
      <w:spacing w:after="0" w:line="240" w:lineRule="auto"/>
    </w:pPr>
  </w:style>
  <w:style w:type="paragraph" w:styleId="Header">
    <w:name w:val="header"/>
    <w:basedOn w:val="Normal"/>
    <w:link w:val="HeaderChar"/>
    <w:uiPriority w:val="99"/>
    <w:unhideWhenUsed/>
    <w:rsid w:val="002C77CE"/>
    <w:pPr>
      <w:tabs>
        <w:tab w:val="center" w:pos="4536"/>
        <w:tab w:val="right" w:pos="9072"/>
      </w:tabs>
      <w:spacing w:after="0" w:line="240" w:lineRule="auto"/>
    </w:pPr>
  </w:style>
  <w:style w:type="character" w:customStyle="1" w:styleId="HeaderChar">
    <w:name w:val="Header Char"/>
    <w:basedOn w:val="DefaultParagraphFont"/>
    <w:link w:val="Header"/>
    <w:uiPriority w:val="99"/>
    <w:rsid w:val="002C77CE"/>
  </w:style>
  <w:style w:type="paragraph" w:styleId="Footer">
    <w:name w:val="footer"/>
    <w:basedOn w:val="Normal"/>
    <w:link w:val="FooterChar"/>
    <w:uiPriority w:val="99"/>
    <w:unhideWhenUsed/>
    <w:rsid w:val="002C77CE"/>
    <w:pPr>
      <w:tabs>
        <w:tab w:val="center" w:pos="4536"/>
        <w:tab w:val="right" w:pos="9072"/>
      </w:tabs>
      <w:spacing w:after="0" w:line="240" w:lineRule="auto"/>
    </w:pPr>
  </w:style>
  <w:style w:type="character" w:customStyle="1" w:styleId="FooterChar">
    <w:name w:val="Footer Char"/>
    <w:basedOn w:val="DefaultParagraphFont"/>
    <w:link w:val="Footer"/>
    <w:uiPriority w:val="99"/>
    <w:rsid w:val="002C77CE"/>
  </w:style>
  <w:style w:type="paragraph" w:styleId="NormalWeb">
    <w:name w:val="Normal (Web)"/>
    <w:basedOn w:val="Normal"/>
    <w:uiPriority w:val="99"/>
    <w:semiHidden/>
    <w:unhideWhenUsed/>
    <w:rsid w:val="00513524"/>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Strong">
    <w:name w:val="Strong"/>
    <w:basedOn w:val="DefaultParagraphFont"/>
    <w:uiPriority w:val="22"/>
    <w:qFormat/>
    <w:rsid w:val="00513524"/>
    <w:rPr>
      <w:b/>
      <w:bCs/>
    </w:rPr>
  </w:style>
  <w:style w:type="character" w:styleId="Emphasis">
    <w:name w:val="Emphasis"/>
    <w:basedOn w:val="DefaultParagraphFont"/>
    <w:uiPriority w:val="20"/>
    <w:qFormat/>
    <w:rsid w:val="00513524"/>
    <w:rPr>
      <w:i/>
      <w:iCs/>
    </w:rPr>
  </w:style>
  <w:style w:type="character" w:styleId="Hyperlink">
    <w:name w:val="Hyperlink"/>
    <w:basedOn w:val="DefaultParagraphFont"/>
    <w:uiPriority w:val="99"/>
    <w:unhideWhenUsed/>
    <w:rsid w:val="00E931B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065944">
      <w:bodyDiv w:val="1"/>
      <w:marLeft w:val="0"/>
      <w:marRight w:val="0"/>
      <w:marTop w:val="0"/>
      <w:marBottom w:val="0"/>
      <w:divBdr>
        <w:top w:val="none" w:sz="0" w:space="0" w:color="auto"/>
        <w:left w:val="none" w:sz="0" w:space="0" w:color="auto"/>
        <w:bottom w:val="none" w:sz="0" w:space="0" w:color="auto"/>
        <w:right w:val="none" w:sz="0" w:space="0" w:color="auto"/>
      </w:divBdr>
    </w:div>
    <w:div w:id="1689327651">
      <w:bodyDiv w:val="1"/>
      <w:marLeft w:val="0"/>
      <w:marRight w:val="0"/>
      <w:marTop w:val="0"/>
      <w:marBottom w:val="0"/>
      <w:divBdr>
        <w:top w:val="none" w:sz="0" w:space="0" w:color="auto"/>
        <w:left w:val="none" w:sz="0" w:space="0" w:color="auto"/>
        <w:bottom w:val="none" w:sz="0" w:space="0" w:color="auto"/>
        <w:right w:val="none" w:sz="0" w:space="0" w:color="auto"/>
      </w:divBdr>
    </w:div>
    <w:div w:id="1967160332">
      <w:bodyDiv w:val="1"/>
      <w:marLeft w:val="0"/>
      <w:marRight w:val="0"/>
      <w:marTop w:val="0"/>
      <w:marBottom w:val="0"/>
      <w:divBdr>
        <w:top w:val="none" w:sz="0" w:space="0" w:color="auto"/>
        <w:left w:val="none" w:sz="0" w:space="0" w:color="auto"/>
        <w:bottom w:val="none" w:sz="0" w:space="0" w:color="auto"/>
        <w:right w:val="none" w:sz="0" w:space="0" w:color="auto"/>
      </w:divBdr>
      <w:divsChild>
        <w:div w:id="1406572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144828">
          <w:marLeft w:val="0"/>
          <w:marRight w:val="0"/>
          <w:marTop w:val="0"/>
          <w:marBottom w:val="0"/>
          <w:divBdr>
            <w:top w:val="none" w:sz="0" w:space="0" w:color="auto"/>
            <w:left w:val="none" w:sz="0" w:space="0" w:color="auto"/>
            <w:bottom w:val="none" w:sz="0" w:space="0" w:color="auto"/>
            <w:right w:val="none" w:sz="0" w:space="0" w:color="auto"/>
          </w:divBdr>
        </w:div>
      </w:divsChild>
    </w:div>
    <w:div w:id="2067412799">
      <w:bodyDiv w:val="1"/>
      <w:marLeft w:val="0"/>
      <w:marRight w:val="0"/>
      <w:marTop w:val="0"/>
      <w:marBottom w:val="0"/>
      <w:divBdr>
        <w:top w:val="none" w:sz="0" w:space="0" w:color="auto"/>
        <w:left w:val="none" w:sz="0" w:space="0" w:color="auto"/>
        <w:bottom w:val="none" w:sz="0" w:space="0" w:color="auto"/>
        <w:right w:val="none" w:sz="0" w:space="0" w:color="auto"/>
      </w:divBdr>
    </w:div>
    <w:div w:id="2079327467">
      <w:bodyDiv w:val="1"/>
      <w:marLeft w:val="0"/>
      <w:marRight w:val="0"/>
      <w:marTop w:val="0"/>
      <w:marBottom w:val="0"/>
      <w:divBdr>
        <w:top w:val="none" w:sz="0" w:space="0" w:color="auto"/>
        <w:left w:val="none" w:sz="0" w:space="0" w:color="auto"/>
        <w:bottom w:val="none" w:sz="0" w:space="0" w:color="auto"/>
        <w:right w:val="none" w:sz="0" w:space="0" w:color="auto"/>
      </w:divBdr>
      <w:divsChild>
        <w:div w:id="666712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539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dgenderapartheid.today/" TargetMode="External"/><Relationship Id="rId13" Type="http://schemas.openxmlformats.org/officeDocument/2006/relationships/hyperlink" Target="https://participedia.net/organization/canadian-women-for-women-afghanistan-cw4w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ews.un.org/en/story/2024/06/1150881" TargetMode="External"/><Relationship Id="rId12" Type="http://schemas.openxmlformats.org/officeDocument/2006/relationships/hyperlink" Target="https://giwps.georgetown.edu/2023/12/05/the-talibans-oppression-of-women-is-gender-aparthei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rw.org/news/2025/09/02/gender-apartheid-as-an-international-crime" TargetMode="External"/><Relationship Id="rId5" Type="http://schemas.openxmlformats.org/officeDocument/2006/relationships/footnotes" Target="footnotes.xml"/><Relationship Id="rId15" Type="http://schemas.openxmlformats.org/officeDocument/2006/relationships/hyperlink" Target="https://www.iraniandiasporacollective.com/" TargetMode="External"/><Relationship Id="rId10" Type="http://schemas.openxmlformats.org/officeDocument/2006/relationships/hyperlink" Target="https://www.amnesty.org/en/latest/news/2024/06/gender-apartheid-must-be-recognized-international-law/" TargetMode="External"/><Relationship Id="rId4" Type="http://schemas.openxmlformats.org/officeDocument/2006/relationships/webSettings" Target="webSettings.xml"/><Relationship Id="rId9" Type="http://schemas.openxmlformats.org/officeDocument/2006/relationships/hyperlink" Target="https://www.ibanet.org/document?id=Gender-Apartheid-Inquiry-Report-March-2024" TargetMode="External"/><Relationship Id="rId14" Type="http://schemas.openxmlformats.org/officeDocument/2006/relationships/hyperlink" Target="https://iranhumanrigh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1480</TotalTime>
  <Pages>5</Pages>
  <Words>2319</Words>
  <Characters>12757</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Noushin Mirjalili</dc:creator>
  <cp:keywords/>
  <dc:description/>
  <cp:lastModifiedBy>Noushin Mirjalili</cp:lastModifiedBy>
  <cp:revision>163</cp:revision>
  <dcterms:created xsi:type="dcterms:W3CDTF">2025-09-28T15:34:00Z</dcterms:created>
  <dcterms:modified xsi:type="dcterms:W3CDTF">2025-12-04T13:51:00Z</dcterms:modified>
</cp:coreProperties>
</file>